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76" w:rsidRPr="00DB384A" w:rsidRDefault="008F1A76" w:rsidP="004251D7">
      <w:pPr>
        <w:spacing w:after="120"/>
        <w:jc w:val="right"/>
        <w:rPr>
          <w:sz w:val="24"/>
          <w:szCs w:val="24"/>
        </w:rPr>
      </w:pPr>
      <w:r w:rsidRPr="00DB384A">
        <w:rPr>
          <w:sz w:val="24"/>
          <w:szCs w:val="24"/>
        </w:rPr>
        <w:t xml:space="preserve">Court File No. </w:t>
      </w:r>
      <w:r w:rsidR="00732B6E" w:rsidRPr="00DB384A">
        <w:rPr>
          <w:sz w:val="24"/>
          <w:szCs w:val="24"/>
        </w:rPr>
        <w:t>C6070</w:t>
      </w:r>
      <w:r w:rsidRPr="00DB384A">
        <w:rPr>
          <w:sz w:val="24"/>
          <w:szCs w:val="24"/>
        </w:rPr>
        <w:t>6</w:t>
      </w:r>
    </w:p>
    <w:p w:rsidR="00577B5D" w:rsidRPr="00DB384A" w:rsidRDefault="00577B5D" w:rsidP="004251D7">
      <w:pPr>
        <w:spacing w:after="120"/>
        <w:jc w:val="right"/>
        <w:rPr>
          <w:sz w:val="24"/>
          <w:szCs w:val="24"/>
        </w:rPr>
      </w:pPr>
    </w:p>
    <w:p w:rsidR="008F1A76" w:rsidRPr="00DB384A" w:rsidRDefault="008F1A76" w:rsidP="004251D7">
      <w:pPr>
        <w:spacing w:after="120"/>
        <w:jc w:val="center"/>
        <w:rPr>
          <w:b/>
          <w:sz w:val="24"/>
          <w:szCs w:val="24"/>
        </w:rPr>
      </w:pPr>
      <w:r w:rsidRPr="00DB384A">
        <w:rPr>
          <w:b/>
          <w:sz w:val="24"/>
          <w:szCs w:val="24"/>
        </w:rPr>
        <w:t xml:space="preserve">COURT OF APPEAL FOR ONTARIO </w:t>
      </w:r>
    </w:p>
    <w:p w:rsidR="008F1A76" w:rsidRPr="00DB384A" w:rsidRDefault="008F1A76" w:rsidP="004251D7">
      <w:pPr>
        <w:spacing w:after="120"/>
        <w:rPr>
          <w:b/>
          <w:sz w:val="24"/>
          <w:szCs w:val="24"/>
        </w:rPr>
      </w:pPr>
      <w:r w:rsidRPr="00DB384A">
        <w:rPr>
          <w:b/>
          <w:sz w:val="24"/>
          <w:szCs w:val="24"/>
        </w:rPr>
        <w:t xml:space="preserve">BETWEEN </w:t>
      </w:r>
    </w:p>
    <w:p w:rsidR="008F1A76" w:rsidRPr="00DB384A" w:rsidRDefault="008F1A76" w:rsidP="004251D7">
      <w:pPr>
        <w:spacing w:after="120"/>
        <w:jc w:val="center"/>
        <w:rPr>
          <w:b/>
          <w:sz w:val="24"/>
          <w:szCs w:val="24"/>
        </w:rPr>
      </w:pPr>
      <w:r w:rsidRPr="00DB384A">
        <w:rPr>
          <w:b/>
          <w:sz w:val="24"/>
          <w:szCs w:val="24"/>
        </w:rPr>
        <w:t>LYNN GEHL</w:t>
      </w:r>
    </w:p>
    <w:p w:rsidR="008F1A76" w:rsidRPr="00DB384A" w:rsidRDefault="008F1A76" w:rsidP="004251D7">
      <w:pPr>
        <w:spacing w:after="120"/>
        <w:jc w:val="right"/>
        <w:rPr>
          <w:sz w:val="24"/>
          <w:szCs w:val="24"/>
        </w:rPr>
      </w:pPr>
      <w:r w:rsidRPr="00DB384A">
        <w:rPr>
          <w:rStyle w:val="Prompt"/>
          <w:color w:val="auto"/>
          <w:sz w:val="24"/>
          <w:szCs w:val="24"/>
        </w:rPr>
        <w:t>Appellant</w:t>
      </w:r>
    </w:p>
    <w:p w:rsidR="009B3550" w:rsidRPr="00DB384A" w:rsidRDefault="008F1A76" w:rsidP="004251D7">
      <w:pPr>
        <w:spacing w:after="120"/>
        <w:jc w:val="center"/>
        <w:rPr>
          <w:sz w:val="24"/>
          <w:szCs w:val="24"/>
        </w:rPr>
      </w:pPr>
      <w:proofErr w:type="gramStart"/>
      <w:r w:rsidRPr="00DB384A">
        <w:rPr>
          <w:sz w:val="24"/>
          <w:szCs w:val="24"/>
        </w:rPr>
        <w:t>and</w:t>
      </w:r>
      <w:proofErr w:type="gramEnd"/>
    </w:p>
    <w:p w:rsidR="008F1A76" w:rsidRPr="00DB384A" w:rsidRDefault="008F1A76" w:rsidP="004251D7">
      <w:pPr>
        <w:spacing w:after="120"/>
        <w:jc w:val="center"/>
        <w:rPr>
          <w:b/>
          <w:sz w:val="24"/>
          <w:szCs w:val="24"/>
        </w:rPr>
      </w:pPr>
      <w:r w:rsidRPr="00DB384A">
        <w:rPr>
          <w:b/>
          <w:sz w:val="24"/>
          <w:szCs w:val="24"/>
        </w:rPr>
        <w:t>ATTORNEY</w:t>
      </w:r>
      <w:r w:rsidR="00E677C3">
        <w:rPr>
          <w:b/>
          <w:sz w:val="24"/>
          <w:szCs w:val="24"/>
        </w:rPr>
        <w:t xml:space="preserve"> </w:t>
      </w:r>
      <w:r w:rsidRPr="00DB384A">
        <w:rPr>
          <w:b/>
          <w:sz w:val="24"/>
          <w:szCs w:val="24"/>
        </w:rPr>
        <w:t>GENERAL OF CANADA</w:t>
      </w:r>
    </w:p>
    <w:p w:rsidR="008F1A76" w:rsidRPr="00DB384A" w:rsidRDefault="008F1A76" w:rsidP="004251D7">
      <w:pPr>
        <w:spacing w:after="120"/>
        <w:jc w:val="right"/>
        <w:rPr>
          <w:sz w:val="24"/>
          <w:szCs w:val="24"/>
        </w:rPr>
      </w:pPr>
      <w:r w:rsidRPr="00DB384A">
        <w:rPr>
          <w:sz w:val="24"/>
          <w:szCs w:val="24"/>
        </w:rPr>
        <w:t>Respondent</w:t>
      </w:r>
    </w:p>
    <w:p w:rsidR="009B3550" w:rsidRPr="00DB384A" w:rsidRDefault="009B3550" w:rsidP="004251D7">
      <w:pPr>
        <w:spacing w:after="120"/>
        <w:jc w:val="center"/>
        <w:rPr>
          <w:sz w:val="24"/>
          <w:szCs w:val="24"/>
        </w:rPr>
      </w:pPr>
      <w:proofErr w:type="gramStart"/>
      <w:r w:rsidRPr="00DB384A">
        <w:rPr>
          <w:sz w:val="24"/>
          <w:szCs w:val="24"/>
        </w:rPr>
        <w:t>and</w:t>
      </w:r>
      <w:proofErr w:type="gramEnd"/>
    </w:p>
    <w:p w:rsidR="009B3550" w:rsidRDefault="009B3550" w:rsidP="004251D7">
      <w:pPr>
        <w:spacing w:after="120"/>
        <w:jc w:val="center"/>
        <w:rPr>
          <w:b/>
          <w:sz w:val="24"/>
          <w:szCs w:val="24"/>
        </w:rPr>
      </w:pPr>
      <w:r w:rsidRPr="00DB384A">
        <w:rPr>
          <w:b/>
          <w:sz w:val="24"/>
          <w:szCs w:val="24"/>
        </w:rPr>
        <w:t>WOMEN’S LEGAL EDUCATION AND ACTION FUND INC. (LEAF)</w:t>
      </w:r>
    </w:p>
    <w:p w:rsidR="0001407A" w:rsidRPr="0001407A" w:rsidRDefault="0001407A" w:rsidP="0001407A">
      <w:pPr>
        <w:spacing w:after="120"/>
        <w:jc w:val="right"/>
        <w:rPr>
          <w:sz w:val="24"/>
          <w:szCs w:val="24"/>
        </w:rPr>
      </w:pPr>
      <w:r w:rsidRPr="0001407A">
        <w:rPr>
          <w:sz w:val="24"/>
          <w:szCs w:val="24"/>
        </w:rPr>
        <w:t>Intervener</w:t>
      </w:r>
    </w:p>
    <w:p w:rsidR="00294DF2" w:rsidRPr="00DB384A" w:rsidRDefault="00294DF2" w:rsidP="004251D7">
      <w:pPr>
        <w:spacing w:after="120" w:line="240" w:lineRule="auto"/>
        <w:rPr>
          <w:sz w:val="24"/>
          <w:szCs w:val="24"/>
          <w:u w:val="single"/>
        </w:rPr>
      </w:pP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p>
    <w:p w:rsidR="00294DF2" w:rsidRPr="00DB384A" w:rsidRDefault="00294DF2" w:rsidP="004251D7">
      <w:pPr>
        <w:spacing w:after="120" w:line="240" w:lineRule="auto"/>
        <w:jc w:val="center"/>
        <w:rPr>
          <w:b/>
          <w:sz w:val="24"/>
          <w:szCs w:val="24"/>
        </w:rPr>
      </w:pPr>
      <w:r w:rsidRPr="00DB384A">
        <w:rPr>
          <w:b/>
          <w:sz w:val="24"/>
          <w:szCs w:val="24"/>
        </w:rPr>
        <w:t xml:space="preserve">FACTUM OF THE INTERVENER, </w:t>
      </w:r>
    </w:p>
    <w:p w:rsidR="00294DF2" w:rsidRPr="00DB384A" w:rsidRDefault="00294DF2" w:rsidP="004251D7">
      <w:pPr>
        <w:spacing w:after="120" w:line="240" w:lineRule="auto"/>
        <w:jc w:val="center"/>
        <w:rPr>
          <w:b/>
          <w:sz w:val="24"/>
          <w:szCs w:val="24"/>
        </w:rPr>
      </w:pPr>
      <w:r w:rsidRPr="00DB384A">
        <w:rPr>
          <w:b/>
          <w:sz w:val="24"/>
          <w:szCs w:val="24"/>
        </w:rPr>
        <w:t>WOMEN’S LEGAL EDUCATION AND ACTION FUND INC. (LEAF)</w:t>
      </w:r>
    </w:p>
    <w:p w:rsidR="00294DF2" w:rsidRPr="00DB384A" w:rsidRDefault="00294DF2" w:rsidP="004251D7">
      <w:pPr>
        <w:spacing w:after="120" w:line="240" w:lineRule="auto"/>
        <w:rPr>
          <w:sz w:val="24"/>
          <w:szCs w:val="24"/>
          <w:u w:val="single"/>
        </w:rPr>
      </w:pP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p>
    <w:p w:rsidR="00294DF2" w:rsidRPr="00DB384A" w:rsidRDefault="00294DF2" w:rsidP="004251D7">
      <w:pPr>
        <w:spacing w:after="120" w:line="240" w:lineRule="auto"/>
        <w:rPr>
          <w:sz w:val="24"/>
          <w:szCs w:val="24"/>
          <w:u w:val="single"/>
        </w:rPr>
      </w:pPr>
    </w:p>
    <w:tbl>
      <w:tblPr>
        <w:tblW w:w="6138" w:type="dxa"/>
        <w:tblInd w:w="3438" w:type="dxa"/>
        <w:tblBorders>
          <w:insideV w:val="single" w:sz="4" w:space="0" w:color="000000"/>
        </w:tblBorders>
        <w:tblLook w:val="04A0" w:firstRow="1" w:lastRow="0" w:firstColumn="1" w:lastColumn="0" w:noHBand="0" w:noVBand="1"/>
      </w:tblPr>
      <w:tblGrid>
        <w:gridCol w:w="6138"/>
      </w:tblGrid>
      <w:tr w:rsidR="00734CE1" w:rsidRPr="00DB384A" w:rsidTr="00734CE1">
        <w:tc>
          <w:tcPr>
            <w:tcW w:w="6138" w:type="dxa"/>
          </w:tcPr>
          <w:p w:rsidR="00294DF2" w:rsidRPr="00DB384A" w:rsidRDefault="00294DF2" w:rsidP="009A4E07">
            <w:pPr>
              <w:spacing w:after="0" w:line="240" w:lineRule="auto"/>
              <w:rPr>
                <w:b/>
                <w:sz w:val="24"/>
                <w:szCs w:val="24"/>
              </w:rPr>
            </w:pPr>
          </w:p>
          <w:p w:rsidR="00734CE1" w:rsidRPr="00DB384A" w:rsidRDefault="00734CE1" w:rsidP="009A4E07">
            <w:pPr>
              <w:spacing w:after="0" w:line="240" w:lineRule="auto"/>
              <w:rPr>
                <w:b/>
                <w:sz w:val="24"/>
                <w:szCs w:val="24"/>
              </w:rPr>
            </w:pPr>
            <w:r w:rsidRPr="00DB384A">
              <w:rPr>
                <w:b/>
                <w:sz w:val="24"/>
                <w:szCs w:val="24"/>
              </w:rPr>
              <w:t xml:space="preserve">OLTHUIS KLEER TOWNSHEND LLP  </w:t>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250 University Avenue, 8</w:t>
            </w:r>
            <w:r w:rsidRPr="00DB384A">
              <w:rPr>
                <w:sz w:val="24"/>
                <w:szCs w:val="24"/>
                <w:vertAlign w:val="superscript"/>
              </w:rPr>
              <w:t>th</w:t>
            </w:r>
            <w:r w:rsidRPr="00DB384A">
              <w:rPr>
                <w:sz w:val="24"/>
                <w:szCs w:val="24"/>
              </w:rPr>
              <w:t xml:space="preserve"> Floor</w:t>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Toronto, ON  M5H 3E5</w:t>
            </w:r>
          </w:p>
        </w:tc>
      </w:tr>
      <w:tr w:rsidR="00734CE1" w:rsidRPr="00DB384A" w:rsidTr="00734CE1">
        <w:tc>
          <w:tcPr>
            <w:tcW w:w="6138" w:type="dxa"/>
          </w:tcPr>
          <w:p w:rsidR="00734CE1" w:rsidRPr="00DB384A" w:rsidRDefault="00734CE1" w:rsidP="009A4E07">
            <w:pPr>
              <w:spacing w:after="0" w:line="240" w:lineRule="auto"/>
              <w:jc w:val="right"/>
              <w:rPr>
                <w:sz w:val="24"/>
                <w:szCs w:val="24"/>
              </w:rPr>
            </w:pPr>
          </w:p>
        </w:tc>
      </w:tr>
      <w:tr w:rsidR="00734CE1" w:rsidRPr="00DB384A" w:rsidTr="00734CE1">
        <w:tc>
          <w:tcPr>
            <w:tcW w:w="6138" w:type="dxa"/>
          </w:tcPr>
          <w:p w:rsidR="00734CE1" w:rsidRPr="00DB384A" w:rsidRDefault="00734CE1" w:rsidP="009A4E07">
            <w:pPr>
              <w:spacing w:after="0" w:line="240" w:lineRule="auto"/>
              <w:rPr>
                <w:b/>
                <w:sz w:val="24"/>
                <w:szCs w:val="24"/>
                <w:lang w:val="fr-CA"/>
              </w:rPr>
            </w:pPr>
            <w:r w:rsidRPr="00DB384A">
              <w:rPr>
                <w:b/>
                <w:sz w:val="24"/>
                <w:szCs w:val="24"/>
                <w:lang w:val="fr-CA"/>
              </w:rPr>
              <w:t>REN</w:t>
            </w:r>
            <w:r w:rsidR="00F0518F" w:rsidRPr="00DB384A">
              <w:rPr>
                <w:b/>
                <w:sz w:val="24"/>
                <w:szCs w:val="24"/>
                <w:lang w:val="fr-CA"/>
              </w:rPr>
              <w:t>É</w:t>
            </w:r>
            <w:r w:rsidRPr="00DB384A">
              <w:rPr>
                <w:b/>
                <w:sz w:val="24"/>
                <w:szCs w:val="24"/>
                <w:lang w:val="fr-CA"/>
              </w:rPr>
              <w:t>E PELLETIER (LSUC No.</w:t>
            </w:r>
            <w:r w:rsidRPr="00DB384A">
              <w:rPr>
                <w:sz w:val="24"/>
                <w:szCs w:val="24"/>
                <w:lang w:val="fr-CA"/>
              </w:rPr>
              <w:t xml:space="preserve"> </w:t>
            </w:r>
            <w:r w:rsidRPr="00DB384A">
              <w:rPr>
                <w:rStyle w:val="Prompt"/>
                <w:b/>
                <w:color w:val="auto"/>
                <w:sz w:val="24"/>
                <w:szCs w:val="24"/>
                <w:lang w:val="fr-CA"/>
              </w:rPr>
              <w:t>46966N</w:t>
            </w:r>
            <w:r w:rsidRPr="00DB384A">
              <w:rPr>
                <w:b/>
                <w:sz w:val="24"/>
                <w:szCs w:val="24"/>
                <w:lang w:val="fr-CA"/>
              </w:rPr>
              <w:t>)</w:t>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Tel:  (416) 981-9456</w:t>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Fax:  (416) 981-9350</w:t>
            </w:r>
          </w:p>
        </w:tc>
      </w:tr>
      <w:tr w:rsidR="00734CE1" w:rsidRPr="00DB384A" w:rsidTr="00734CE1">
        <w:tc>
          <w:tcPr>
            <w:tcW w:w="6138" w:type="dxa"/>
          </w:tcPr>
          <w:p w:rsidR="00734CE1" w:rsidRPr="00DB384A" w:rsidRDefault="00734CE1" w:rsidP="009A4E07">
            <w:pPr>
              <w:spacing w:after="0" w:line="240" w:lineRule="auto"/>
              <w:rPr>
                <w:sz w:val="24"/>
                <w:szCs w:val="24"/>
              </w:rPr>
            </w:pPr>
          </w:p>
        </w:tc>
      </w:tr>
      <w:tr w:rsidR="00734CE1" w:rsidRPr="00DB384A" w:rsidTr="00734CE1">
        <w:tc>
          <w:tcPr>
            <w:tcW w:w="6138" w:type="dxa"/>
          </w:tcPr>
          <w:p w:rsidR="00734CE1" w:rsidRPr="00DB384A" w:rsidRDefault="00734CE1" w:rsidP="009A4E07">
            <w:pPr>
              <w:spacing w:after="0" w:line="240" w:lineRule="auto"/>
              <w:rPr>
                <w:b/>
                <w:sz w:val="24"/>
                <w:szCs w:val="24"/>
              </w:rPr>
            </w:pPr>
            <w:r w:rsidRPr="00DB384A">
              <w:rPr>
                <w:b/>
                <w:sz w:val="24"/>
                <w:szCs w:val="24"/>
              </w:rPr>
              <w:t>KRISTA NERLAND (LSUC No. 67574L)</w:t>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Tel:  (416) 981-9356</w:t>
            </w:r>
          </w:p>
        </w:tc>
      </w:tr>
      <w:tr w:rsidR="00734CE1" w:rsidRPr="00DB384A" w:rsidTr="00734CE1">
        <w:tc>
          <w:tcPr>
            <w:tcW w:w="6138" w:type="dxa"/>
          </w:tcPr>
          <w:p w:rsidR="00AE706C" w:rsidRPr="00DB384A" w:rsidRDefault="00734CE1" w:rsidP="009A4E07">
            <w:pPr>
              <w:spacing w:after="0" w:line="240" w:lineRule="auto"/>
              <w:rPr>
                <w:sz w:val="24"/>
                <w:szCs w:val="24"/>
              </w:rPr>
            </w:pPr>
            <w:r w:rsidRPr="00DB384A">
              <w:rPr>
                <w:sz w:val="24"/>
                <w:szCs w:val="24"/>
              </w:rPr>
              <w:t>Fax:  (416) 981-9350</w:t>
            </w:r>
            <w:r w:rsidR="00AE706C" w:rsidRPr="00DB384A">
              <w:rPr>
                <w:sz w:val="24"/>
                <w:szCs w:val="24"/>
              </w:rPr>
              <w:br/>
            </w:r>
          </w:p>
        </w:tc>
      </w:tr>
      <w:tr w:rsidR="00734CE1" w:rsidRPr="00DB384A" w:rsidTr="00734CE1">
        <w:tc>
          <w:tcPr>
            <w:tcW w:w="6138" w:type="dxa"/>
          </w:tcPr>
          <w:p w:rsidR="00734CE1" w:rsidRPr="00DB384A" w:rsidRDefault="00734CE1" w:rsidP="009A4E07">
            <w:pPr>
              <w:spacing w:after="0" w:line="240" w:lineRule="auto"/>
              <w:rPr>
                <w:sz w:val="24"/>
                <w:szCs w:val="24"/>
              </w:rPr>
            </w:pPr>
            <w:r w:rsidRPr="00DB384A">
              <w:rPr>
                <w:sz w:val="24"/>
                <w:szCs w:val="24"/>
              </w:rPr>
              <w:t xml:space="preserve">Counsel for the Proposed Intervener, </w:t>
            </w:r>
          </w:p>
        </w:tc>
      </w:tr>
      <w:tr w:rsidR="00734CE1" w:rsidRPr="00DB384A" w:rsidTr="00734CE1">
        <w:tc>
          <w:tcPr>
            <w:tcW w:w="6138" w:type="dxa"/>
          </w:tcPr>
          <w:p w:rsidR="00734CE1" w:rsidRPr="00DB384A" w:rsidRDefault="00734CE1" w:rsidP="009A4E07">
            <w:pPr>
              <w:spacing w:after="0" w:line="240" w:lineRule="auto"/>
              <w:rPr>
                <w:b/>
                <w:sz w:val="24"/>
                <w:szCs w:val="24"/>
              </w:rPr>
            </w:pPr>
            <w:r w:rsidRPr="00DB384A">
              <w:rPr>
                <w:b/>
                <w:sz w:val="24"/>
                <w:szCs w:val="24"/>
              </w:rPr>
              <w:t xml:space="preserve">Women’s Legal Education and Action Fund </w:t>
            </w:r>
          </w:p>
        </w:tc>
      </w:tr>
    </w:tbl>
    <w:p w:rsidR="00786AD8" w:rsidRPr="00DB384A" w:rsidRDefault="00786AD8" w:rsidP="009A4E07">
      <w:pPr>
        <w:spacing w:after="0" w:line="240" w:lineRule="auto"/>
        <w:contextualSpacing/>
        <w:rPr>
          <w:b/>
          <w:sz w:val="24"/>
          <w:szCs w:val="24"/>
        </w:rPr>
      </w:pPr>
    </w:p>
    <w:p w:rsidR="00786AD8" w:rsidRPr="00DB384A" w:rsidRDefault="00786AD8" w:rsidP="009A4E07">
      <w:pPr>
        <w:spacing w:after="0" w:line="240" w:lineRule="auto"/>
        <w:contextualSpacing/>
        <w:rPr>
          <w:b/>
          <w:sz w:val="24"/>
          <w:szCs w:val="24"/>
        </w:rPr>
      </w:pPr>
    </w:p>
    <w:p w:rsidR="00786AD8" w:rsidRPr="00DB384A" w:rsidRDefault="00786AD8" w:rsidP="009A4E07">
      <w:pPr>
        <w:spacing w:after="0" w:line="240" w:lineRule="auto"/>
        <w:contextualSpacing/>
        <w:rPr>
          <w:sz w:val="24"/>
          <w:szCs w:val="24"/>
        </w:rPr>
      </w:pPr>
      <w:r w:rsidRPr="00DB384A">
        <w:rPr>
          <w:b/>
          <w:sz w:val="24"/>
          <w:szCs w:val="24"/>
        </w:rPr>
        <w:t>TO</w:t>
      </w:r>
      <w:r w:rsidRPr="00DB384A">
        <w:rPr>
          <w:sz w:val="24"/>
          <w:szCs w:val="24"/>
        </w:rPr>
        <w:t>:</w:t>
      </w:r>
      <w:r w:rsidRPr="00DB384A">
        <w:rPr>
          <w:sz w:val="24"/>
          <w:szCs w:val="24"/>
        </w:rPr>
        <w:tab/>
      </w:r>
      <w:r w:rsidRPr="00DB384A">
        <w:rPr>
          <w:sz w:val="24"/>
          <w:szCs w:val="24"/>
        </w:rPr>
        <w:tab/>
      </w:r>
      <w:r w:rsidRPr="00DB384A">
        <w:rPr>
          <w:b/>
          <w:sz w:val="24"/>
          <w:szCs w:val="24"/>
        </w:rPr>
        <w:t>THE REGISTRY</w:t>
      </w:r>
      <w:r w:rsidRPr="00DB384A">
        <w:rPr>
          <w:sz w:val="24"/>
          <w:szCs w:val="24"/>
        </w:rPr>
        <w:tab/>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 xml:space="preserve">Court of Appeal for Ontario </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130 Queen Street West</w:t>
      </w:r>
    </w:p>
    <w:p w:rsidR="00786AD8" w:rsidRPr="00DB384A" w:rsidRDefault="00786AD8" w:rsidP="009A4E07">
      <w:pPr>
        <w:spacing w:after="0" w:line="240" w:lineRule="auto"/>
        <w:ind w:left="720" w:firstLine="720"/>
        <w:contextualSpacing/>
        <w:rPr>
          <w:sz w:val="24"/>
          <w:szCs w:val="24"/>
        </w:rPr>
      </w:pPr>
      <w:r w:rsidRPr="00DB384A">
        <w:rPr>
          <w:sz w:val="24"/>
          <w:szCs w:val="24"/>
        </w:rPr>
        <w:lastRenderedPageBreak/>
        <w:t>Toronto, Ontario M5H 2N5</w:t>
      </w:r>
    </w:p>
    <w:p w:rsidR="00786AD8" w:rsidRPr="00DB384A" w:rsidRDefault="00786AD8" w:rsidP="009A4E07">
      <w:pPr>
        <w:spacing w:after="0" w:line="240" w:lineRule="auto"/>
        <w:contextualSpacing/>
        <w:rPr>
          <w:sz w:val="24"/>
          <w:szCs w:val="24"/>
        </w:rPr>
      </w:pPr>
    </w:p>
    <w:p w:rsidR="00786AD8" w:rsidRPr="00DB384A" w:rsidRDefault="00786AD8" w:rsidP="009A4E07">
      <w:pPr>
        <w:spacing w:after="0" w:line="240" w:lineRule="auto"/>
        <w:contextualSpacing/>
        <w:rPr>
          <w:sz w:val="24"/>
          <w:szCs w:val="24"/>
        </w:rPr>
      </w:pPr>
      <w:proofErr w:type="gramStart"/>
      <w:r w:rsidRPr="00DB384A">
        <w:rPr>
          <w:b/>
          <w:sz w:val="24"/>
          <w:szCs w:val="24"/>
        </w:rPr>
        <w:t>AND</w:t>
      </w:r>
      <w:proofErr w:type="gramEnd"/>
      <w:r w:rsidRPr="00DB384A">
        <w:rPr>
          <w:b/>
          <w:sz w:val="24"/>
          <w:szCs w:val="24"/>
        </w:rPr>
        <w:t xml:space="preserve"> TO:</w:t>
      </w:r>
      <w:r w:rsidRPr="00DB384A">
        <w:rPr>
          <w:b/>
          <w:sz w:val="24"/>
          <w:szCs w:val="24"/>
        </w:rPr>
        <w:tab/>
        <w:t>Aboriginal Legal Services Toronto</w:t>
      </w:r>
    </w:p>
    <w:p w:rsidR="00786AD8" w:rsidRPr="00DB384A" w:rsidRDefault="00786AD8" w:rsidP="009A4E07">
      <w:pPr>
        <w:spacing w:after="0" w:line="240" w:lineRule="auto"/>
        <w:ind w:left="720" w:firstLine="720"/>
        <w:contextualSpacing/>
        <w:rPr>
          <w:sz w:val="24"/>
          <w:szCs w:val="24"/>
        </w:rPr>
      </w:pPr>
      <w:r w:rsidRPr="00DB384A">
        <w:rPr>
          <w:sz w:val="24"/>
          <w:szCs w:val="24"/>
        </w:rPr>
        <w:t>211 Yonge St, Suite 5</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Toronto, ON M5B 1M4</w:t>
      </w:r>
    </w:p>
    <w:p w:rsidR="00465F96"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r>
    </w:p>
    <w:p w:rsidR="00786AD8" w:rsidRPr="00DB384A" w:rsidRDefault="00786AD8" w:rsidP="009A4E07">
      <w:pPr>
        <w:spacing w:after="0" w:line="240" w:lineRule="auto"/>
        <w:ind w:left="720" w:firstLine="720"/>
        <w:contextualSpacing/>
        <w:rPr>
          <w:b/>
          <w:sz w:val="24"/>
          <w:szCs w:val="24"/>
        </w:rPr>
      </w:pPr>
      <w:r w:rsidRPr="00DB384A">
        <w:rPr>
          <w:b/>
          <w:sz w:val="24"/>
          <w:szCs w:val="24"/>
        </w:rPr>
        <w:t>Christa Big Canoe</w:t>
      </w:r>
    </w:p>
    <w:p w:rsidR="00786AD8" w:rsidRPr="00DB384A" w:rsidRDefault="00786AD8" w:rsidP="009A4E07">
      <w:pPr>
        <w:spacing w:after="0" w:line="240" w:lineRule="auto"/>
        <w:ind w:left="720" w:firstLine="720"/>
        <w:contextualSpacing/>
        <w:rPr>
          <w:sz w:val="24"/>
          <w:szCs w:val="24"/>
        </w:rPr>
      </w:pPr>
      <w:r w:rsidRPr="00DB384A">
        <w:rPr>
          <w:sz w:val="24"/>
          <w:szCs w:val="24"/>
        </w:rPr>
        <w:t>Tel:  (416) 408-4041 ext 225</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Fax:  (416) 408-1568</w:t>
      </w:r>
    </w:p>
    <w:p w:rsidR="00786AD8" w:rsidRPr="00DB384A" w:rsidRDefault="00786AD8" w:rsidP="009A4E07">
      <w:pPr>
        <w:spacing w:after="0" w:line="240" w:lineRule="auto"/>
        <w:ind w:left="720" w:firstLine="720"/>
        <w:contextualSpacing/>
        <w:rPr>
          <w:sz w:val="24"/>
          <w:szCs w:val="24"/>
        </w:rPr>
      </w:pPr>
    </w:p>
    <w:p w:rsidR="00786AD8" w:rsidRPr="00DB384A" w:rsidRDefault="00786AD8" w:rsidP="009A4E07">
      <w:pPr>
        <w:spacing w:after="0" w:line="240" w:lineRule="auto"/>
        <w:ind w:left="720" w:firstLine="720"/>
        <w:contextualSpacing/>
        <w:rPr>
          <w:sz w:val="24"/>
          <w:szCs w:val="24"/>
        </w:rPr>
      </w:pPr>
      <w:proofErr w:type="gramStart"/>
      <w:r w:rsidRPr="00DB384A">
        <w:rPr>
          <w:sz w:val="24"/>
          <w:szCs w:val="24"/>
        </w:rPr>
        <w:t>and</w:t>
      </w:r>
      <w:proofErr w:type="gramEnd"/>
    </w:p>
    <w:p w:rsidR="00786AD8" w:rsidRPr="00DB384A" w:rsidRDefault="00786AD8" w:rsidP="009A4E07">
      <w:pPr>
        <w:spacing w:after="0" w:line="240" w:lineRule="auto"/>
        <w:contextualSpacing/>
        <w:rPr>
          <w:sz w:val="24"/>
          <w:szCs w:val="24"/>
        </w:rPr>
      </w:pPr>
    </w:p>
    <w:p w:rsidR="00786AD8" w:rsidRPr="00DB384A" w:rsidRDefault="00786AD8" w:rsidP="009A4E07">
      <w:pPr>
        <w:spacing w:after="0" w:line="240" w:lineRule="auto"/>
        <w:contextualSpacing/>
        <w:rPr>
          <w:b/>
          <w:sz w:val="24"/>
          <w:szCs w:val="24"/>
        </w:rPr>
      </w:pPr>
      <w:r w:rsidRPr="00DB384A">
        <w:rPr>
          <w:sz w:val="24"/>
          <w:szCs w:val="24"/>
        </w:rPr>
        <w:tab/>
      </w:r>
      <w:r w:rsidRPr="00DB384A">
        <w:rPr>
          <w:sz w:val="24"/>
          <w:szCs w:val="24"/>
        </w:rPr>
        <w:tab/>
      </w:r>
      <w:r w:rsidRPr="00DB384A">
        <w:rPr>
          <w:b/>
          <w:sz w:val="24"/>
          <w:szCs w:val="24"/>
        </w:rPr>
        <w:t>Law Office of Mary Eberts</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95 Howland Ave</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Toronto, ON M5R 3B4</w:t>
      </w:r>
    </w:p>
    <w:p w:rsidR="00465F96"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r>
    </w:p>
    <w:p w:rsidR="00786AD8" w:rsidRPr="00DB384A" w:rsidRDefault="00786AD8" w:rsidP="009A4E07">
      <w:pPr>
        <w:spacing w:after="0" w:line="240" w:lineRule="auto"/>
        <w:ind w:left="720" w:firstLine="720"/>
        <w:contextualSpacing/>
        <w:rPr>
          <w:b/>
          <w:sz w:val="24"/>
          <w:szCs w:val="24"/>
        </w:rPr>
      </w:pPr>
      <w:r w:rsidRPr="00DB384A">
        <w:rPr>
          <w:b/>
          <w:sz w:val="24"/>
          <w:szCs w:val="24"/>
        </w:rPr>
        <w:t>Mary Eberts</w:t>
      </w:r>
    </w:p>
    <w:p w:rsidR="00786AD8" w:rsidRPr="00DB384A" w:rsidRDefault="00786AD8" w:rsidP="009A4E07">
      <w:pPr>
        <w:spacing w:after="0" w:line="240" w:lineRule="auto"/>
        <w:contextualSpacing/>
        <w:rPr>
          <w:sz w:val="24"/>
          <w:szCs w:val="24"/>
        </w:rPr>
      </w:pPr>
      <w:r w:rsidRPr="00DB384A">
        <w:rPr>
          <w:sz w:val="24"/>
          <w:szCs w:val="24"/>
        </w:rPr>
        <w:tab/>
      </w:r>
      <w:r w:rsidRPr="00DB384A">
        <w:rPr>
          <w:sz w:val="24"/>
          <w:szCs w:val="24"/>
        </w:rPr>
        <w:tab/>
        <w:t>Tel: (416) 923-5215</w:t>
      </w:r>
    </w:p>
    <w:p w:rsidR="00734CE1" w:rsidRPr="00DB384A" w:rsidRDefault="00734CE1" w:rsidP="009A4E07">
      <w:pPr>
        <w:spacing w:after="0" w:line="240" w:lineRule="auto"/>
        <w:contextualSpacing/>
        <w:rPr>
          <w:sz w:val="24"/>
          <w:szCs w:val="24"/>
        </w:rPr>
      </w:pPr>
    </w:p>
    <w:p w:rsidR="00786AD8" w:rsidRPr="00DB384A" w:rsidRDefault="00786AD8" w:rsidP="009A4E07">
      <w:pPr>
        <w:spacing w:after="0" w:line="240" w:lineRule="auto"/>
        <w:contextualSpacing/>
        <w:rPr>
          <w:b/>
          <w:sz w:val="24"/>
          <w:szCs w:val="24"/>
        </w:rPr>
      </w:pPr>
      <w:r w:rsidRPr="00DB384A">
        <w:rPr>
          <w:sz w:val="24"/>
          <w:szCs w:val="24"/>
        </w:rPr>
        <w:tab/>
      </w:r>
      <w:r w:rsidRPr="00DB384A">
        <w:rPr>
          <w:sz w:val="24"/>
          <w:szCs w:val="24"/>
        </w:rPr>
        <w:tab/>
      </w:r>
      <w:r w:rsidRPr="00DB384A">
        <w:rPr>
          <w:b/>
          <w:sz w:val="24"/>
          <w:szCs w:val="24"/>
        </w:rPr>
        <w:t>Counsel for the Appellant, Lynn Gehl</w:t>
      </w:r>
    </w:p>
    <w:p w:rsidR="00786AD8" w:rsidRPr="00DB384A" w:rsidRDefault="00786AD8" w:rsidP="009A4E07">
      <w:pPr>
        <w:spacing w:after="0" w:line="240" w:lineRule="auto"/>
        <w:contextualSpacing/>
        <w:rPr>
          <w:sz w:val="24"/>
          <w:szCs w:val="24"/>
        </w:rPr>
      </w:pPr>
    </w:p>
    <w:p w:rsidR="00786AD8" w:rsidRPr="00DB384A" w:rsidRDefault="00786AD8" w:rsidP="009A4E07">
      <w:pPr>
        <w:autoSpaceDE w:val="0"/>
        <w:autoSpaceDN w:val="0"/>
        <w:adjustRightInd w:val="0"/>
        <w:spacing w:after="0" w:line="240" w:lineRule="auto"/>
        <w:rPr>
          <w:sz w:val="24"/>
          <w:szCs w:val="24"/>
          <w:lang w:val="en-CA"/>
        </w:rPr>
      </w:pPr>
      <w:proofErr w:type="gramStart"/>
      <w:r w:rsidRPr="00DB384A">
        <w:rPr>
          <w:b/>
          <w:sz w:val="24"/>
          <w:szCs w:val="24"/>
        </w:rPr>
        <w:t>AND</w:t>
      </w:r>
      <w:proofErr w:type="gramEnd"/>
      <w:r w:rsidRPr="00DB384A">
        <w:rPr>
          <w:b/>
          <w:sz w:val="24"/>
          <w:szCs w:val="24"/>
        </w:rPr>
        <w:t xml:space="preserve"> TO:</w:t>
      </w:r>
      <w:r w:rsidRPr="00DB384A">
        <w:rPr>
          <w:b/>
          <w:sz w:val="24"/>
          <w:szCs w:val="24"/>
        </w:rPr>
        <w:tab/>
      </w:r>
      <w:r w:rsidRPr="00DB384A">
        <w:rPr>
          <w:sz w:val="24"/>
          <w:szCs w:val="24"/>
          <w:lang w:val="en-CA"/>
        </w:rPr>
        <w:t>Department of Justice</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Ontario Regional Office</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The Exchange Tower</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130 King Street West</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Toronto, Ontario</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M5X 1K6</w:t>
      </w:r>
    </w:p>
    <w:p w:rsidR="00465F96" w:rsidRPr="00DB384A" w:rsidRDefault="00465F96" w:rsidP="009A4E07">
      <w:pPr>
        <w:autoSpaceDE w:val="0"/>
        <w:autoSpaceDN w:val="0"/>
        <w:adjustRightInd w:val="0"/>
        <w:spacing w:after="0" w:line="240" w:lineRule="auto"/>
        <w:ind w:left="720" w:firstLine="720"/>
        <w:rPr>
          <w:sz w:val="24"/>
          <w:szCs w:val="24"/>
          <w:lang w:val="en-CA"/>
        </w:rPr>
      </w:pPr>
    </w:p>
    <w:p w:rsidR="00786AD8" w:rsidRPr="00DB384A" w:rsidRDefault="00E74728" w:rsidP="009A4E07">
      <w:pPr>
        <w:autoSpaceDE w:val="0"/>
        <w:autoSpaceDN w:val="0"/>
        <w:adjustRightInd w:val="0"/>
        <w:spacing w:after="0" w:line="240" w:lineRule="auto"/>
        <w:ind w:left="720" w:firstLine="720"/>
        <w:rPr>
          <w:b/>
          <w:bCs/>
          <w:sz w:val="24"/>
          <w:szCs w:val="24"/>
          <w:lang w:val="en-CA"/>
        </w:rPr>
      </w:pPr>
      <w:r w:rsidRPr="00DB384A">
        <w:rPr>
          <w:b/>
          <w:bCs/>
          <w:sz w:val="24"/>
          <w:szCs w:val="24"/>
          <w:lang w:val="en-CA"/>
        </w:rPr>
        <w:t>Christine Mohr/Andrea Bourke</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Tel: (416) 954-8109/ 973-4497</w:t>
      </w:r>
    </w:p>
    <w:p w:rsidR="00786AD8" w:rsidRPr="00DB384A" w:rsidRDefault="00786AD8" w:rsidP="009A4E07">
      <w:pPr>
        <w:autoSpaceDE w:val="0"/>
        <w:autoSpaceDN w:val="0"/>
        <w:adjustRightInd w:val="0"/>
        <w:spacing w:after="0" w:line="240" w:lineRule="auto"/>
        <w:ind w:left="720" w:firstLine="720"/>
        <w:rPr>
          <w:sz w:val="24"/>
          <w:szCs w:val="24"/>
          <w:lang w:val="en-CA"/>
        </w:rPr>
      </w:pPr>
      <w:r w:rsidRPr="00DB384A">
        <w:rPr>
          <w:sz w:val="24"/>
          <w:szCs w:val="24"/>
          <w:lang w:val="en-CA"/>
        </w:rPr>
        <w:t>Fax: (416) 973-2319</w:t>
      </w:r>
    </w:p>
    <w:p w:rsidR="00734CE1" w:rsidRPr="00DB384A" w:rsidRDefault="00734CE1" w:rsidP="009A4E07">
      <w:pPr>
        <w:autoSpaceDE w:val="0"/>
        <w:autoSpaceDN w:val="0"/>
        <w:adjustRightInd w:val="0"/>
        <w:spacing w:after="0" w:line="240" w:lineRule="auto"/>
        <w:ind w:left="720" w:firstLine="720"/>
        <w:rPr>
          <w:sz w:val="24"/>
          <w:szCs w:val="24"/>
          <w:lang w:val="en-CA"/>
        </w:rPr>
      </w:pPr>
    </w:p>
    <w:p w:rsidR="002021FA" w:rsidRPr="00DB384A" w:rsidRDefault="00786AD8" w:rsidP="009A4E07">
      <w:pPr>
        <w:spacing w:after="0" w:line="240" w:lineRule="auto"/>
        <w:ind w:left="720" w:firstLine="720"/>
        <w:contextualSpacing/>
        <w:rPr>
          <w:b/>
          <w:sz w:val="24"/>
          <w:szCs w:val="24"/>
        </w:rPr>
        <w:sectPr w:rsidR="002021FA" w:rsidRPr="00DB38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620" w:header="432" w:footer="720" w:gutter="0"/>
          <w:paperSrc w:first="15" w:other="15"/>
          <w:pgNumType w:start="1"/>
          <w:cols w:space="720"/>
          <w:titlePg/>
          <w:docGrid w:linePitch="360"/>
        </w:sectPr>
      </w:pPr>
      <w:r w:rsidRPr="00DB384A">
        <w:rPr>
          <w:b/>
          <w:sz w:val="24"/>
          <w:szCs w:val="24"/>
        </w:rPr>
        <w:t>Counsel for the Respondent</w:t>
      </w:r>
      <w:r w:rsidR="00241E31" w:rsidRPr="00DB384A">
        <w:rPr>
          <w:b/>
          <w:sz w:val="24"/>
          <w:szCs w:val="24"/>
        </w:rPr>
        <w:t>, the Attorney</w:t>
      </w:r>
      <w:r w:rsidR="00E677C3">
        <w:rPr>
          <w:b/>
          <w:sz w:val="24"/>
          <w:szCs w:val="24"/>
        </w:rPr>
        <w:t xml:space="preserve"> </w:t>
      </w:r>
      <w:r w:rsidR="003B54F9" w:rsidRPr="00DB384A">
        <w:rPr>
          <w:b/>
          <w:sz w:val="24"/>
          <w:szCs w:val="24"/>
        </w:rPr>
        <w:t>General</w:t>
      </w:r>
      <w:r w:rsidR="00294DF2" w:rsidRPr="00DB384A">
        <w:rPr>
          <w:b/>
          <w:sz w:val="24"/>
          <w:szCs w:val="24"/>
        </w:rPr>
        <w:t xml:space="preserve"> of Canada</w:t>
      </w:r>
    </w:p>
    <w:p w:rsidR="00786AD8" w:rsidRDefault="00786AD8" w:rsidP="004251D7">
      <w:pPr>
        <w:spacing w:after="120"/>
        <w:ind w:left="6480"/>
        <w:rPr>
          <w:sz w:val="24"/>
          <w:szCs w:val="24"/>
        </w:rPr>
      </w:pPr>
      <w:r w:rsidRPr="00DB384A">
        <w:rPr>
          <w:sz w:val="24"/>
          <w:szCs w:val="24"/>
        </w:rPr>
        <w:lastRenderedPageBreak/>
        <w:t xml:space="preserve">Court File No. </w:t>
      </w:r>
      <w:r w:rsidR="00732B6E" w:rsidRPr="00DB384A">
        <w:rPr>
          <w:sz w:val="24"/>
          <w:szCs w:val="24"/>
        </w:rPr>
        <w:t>C607</w:t>
      </w:r>
      <w:r w:rsidRPr="00DB384A">
        <w:rPr>
          <w:sz w:val="24"/>
          <w:szCs w:val="24"/>
        </w:rPr>
        <w:t>06</w:t>
      </w:r>
    </w:p>
    <w:p w:rsidR="0058563B" w:rsidRPr="00DB384A" w:rsidRDefault="0058563B" w:rsidP="004251D7">
      <w:pPr>
        <w:spacing w:after="120"/>
        <w:ind w:left="6480"/>
        <w:rPr>
          <w:sz w:val="24"/>
          <w:szCs w:val="24"/>
        </w:rPr>
      </w:pPr>
    </w:p>
    <w:p w:rsidR="00786AD8" w:rsidRPr="00DB384A" w:rsidRDefault="00786AD8" w:rsidP="004251D7">
      <w:pPr>
        <w:spacing w:after="120"/>
        <w:jc w:val="center"/>
        <w:rPr>
          <w:b/>
          <w:sz w:val="24"/>
          <w:szCs w:val="24"/>
        </w:rPr>
      </w:pPr>
      <w:r w:rsidRPr="00DB384A">
        <w:rPr>
          <w:b/>
          <w:sz w:val="24"/>
          <w:szCs w:val="24"/>
        </w:rPr>
        <w:t xml:space="preserve">COURT OF APPEAL FOR ONTARIO </w:t>
      </w:r>
    </w:p>
    <w:p w:rsidR="00786AD8" w:rsidRPr="00DB384A" w:rsidRDefault="00786AD8" w:rsidP="004251D7">
      <w:pPr>
        <w:spacing w:after="120"/>
        <w:rPr>
          <w:b/>
          <w:sz w:val="24"/>
          <w:szCs w:val="24"/>
        </w:rPr>
      </w:pPr>
      <w:r w:rsidRPr="00DB384A">
        <w:rPr>
          <w:b/>
          <w:sz w:val="24"/>
          <w:szCs w:val="24"/>
        </w:rPr>
        <w:t xml:space="preserve">BETWEEN </w:t>
      </w:r>
    </w:p>
    <w:p w:rsidR="00786AD8" w:rsidRPr="00DB384A" w:rsidRDefault="00786AD8" w:rsidP="004251D7">
      <w:pPr>
        <w:spacing w:after="120"/>
        <w:jc w:val="center"/>
        <w:rPr>
          <w:b/>
          <w:sz w:val="24"/>
          <w:szCs w:val="24"/>
        </w:rPr>
      </w:pPr>
      <w:r w:rsidRPr="00DB384A">
        <w:rPr>
          <w:b/>
          <w:sz w:val="24"/>
          <w:szCs w:val="24"/>
        </w:rPr>
        <w:t>LYNN GEHL</w:t>
      </w:r>
    </w:p>
    <w:p w:rsidR="00786AD8" w:rsidRPr="00DB384A" w:rsidRDefault="00786AD8" w:rsidP="004251D7">
      <w:pPr>
        <w:spacing w:after="120"/>
        <w:jc w:val="right"/>
        <w:rPr>
          <w:sz w:val="24"/>
          <w:szCs w:val="24"/>
        </w:rPr>
      </w:pPr>
      <w:r w:rsidRPr="00DB384A">
        <w:rPr>
          <w:rStyle w:val="Prompt"/>
          <w:color w:val="auto"/>
          <w:sz w:val="24"/>
          <w:szCs w:val="24"/>
        </w:rPr>
        <w:t>Appellant</w:t>
      </w:r>
    </w:p>
    <w:p w:rsidR="00786AD8" w:rsidRPr="00DB384A" w:rsidRDefault="00786AD8" w:rsidP="004251D7">
      <w:pPr>
        <w:spacing w:after="120"/>
        <w:jc w:val="center"/>
        <w:rPr>
          <w:sz w:val="24"/>
          <w:szCs w:val="24"/>
        </w:rPr>
      </w:pPr>
      <w:proofErr w:type="gramStart"/>
      <w:r w:rsidRPr="00DB384A">
        <w:rPr>
          <w:sz w:val="24"/>
          <w:szCs w:val="24"/>
        </w:rPr>
        <w:t>and</w:t>
      </w:r>
      <w:proofErr w:type="gramEnd"/>
    </w:p>
    <w:p w:rsidR="00786AD8" w:rsidRPr="00DB384A" w:rsidRDefault="00786AD8" w:rsidP="004251D7">
      <w:pPr>
        <w:spacing w:after="120"/>
        <w:jc w:val="center"/>
        <w:rPr>
          <w:b/>
          <w:sz w:val="24"/>
          <w:szCs w:val="24"/>
        </w:rPr>
      </w:pPr>
      <w:r w:rsidRPr="00DB384A">
        <w:rPr>
          <w:b/>
          <w:sz w:val="24"/>
          <w:szCs w:val="24"/>
        </w:rPr>
        <w:t>ATTORNEY</w:t>
      </w:r>
      <w:r w:rsidR="00E677C3">
        <w:rPr>
          <w:b/>
          <w:sz w:val="24"/>
          <w:szCs w:val="24"/>
        </w:rPr>
        <w:t xml:space="preserve"> </w:t>
      </w:r>
      <w:r w:rsidRPr="00DB384A">
        <w:rPr>
          <w:b/>
          <w:sz w:val="24"/>
          <w:szCs w:val="24"/>
        </w:rPr>
        <w:t>GENERAL OF CANADA</w:t>
      </w:r>
    </w:p>
    <w:p w:rsidR="00786AD8" w:rsidRPr="00DB384A" w:rsidRDefault="00786AD8" w:rsidP="004251D7">
      <w:pPr>
        <w:spacing w:after="120"/>
        <w:jc w:val="right"/>
        <w:rPr>
          <w:sz w:val="24"/>
          <w:szCs w:val="24"/>
        </w:rPr>
      </w:pPr>
      <w:r w:rsidRPr="00DB384A">
        <w:rPr>
          <w:sz w:val="24"/>
          <w:szCs w:val="24"/>
        </w:rPr>
        <w:t>Respondent</w:t>
      </w:r>
    </w:p>
    <w:p w:rsidR="00786AD8" w:rsidRPr="00DB384A" w:rsidRDefault="00786AD8" w:rsidP="004251D7">
      <w:pPr>
        <w:spacing w:after="120"/>
        <w:jc w:val="center"/>
        <w:rPr>
          <w:sz w:val="24"/>
          <w:szCs w:val="24"/>
        </w:rPr>
      </w:pPr>
      <w:proofErr w:type="gramStart"/>
      <w:r w:rsidRPr="00DB384A">
        <w:rPr>
          <w:sz w:val="24"/>
          <w:szCs w:val="24"/>
        </w:rPr>
        <w:t>and</w:t>
      </w:r>
      <w:proofErr w:type="gramEnd"/>
    </w:p>
    <w:p w:rsidR="00786AD8" w:rsidRPr="00DB384A" w:rsidRDefault="00786AD8" w:rsidP="004251D7">
      <w:pPr>
        <w:spacing w:after="120"/>
        <w:jc w:val="center"/>
        <w:rPr>
          <w:b/>
          <w:sz w:val="24"/>
          <w:szCs w:val="24"/>
        </w:rPr>
      </w:pPr>
      <w:r w:rsidRPr="00DB384A">
        <w:rPr>
          <w:b/>
          <w:sz w:val="24"/>
          <w:szCs w:val="24"/>
        </w:rPr>
        <w:t>WOMEN’S LEGAL EDUCATION AND ACTION FUND</w:t>
      </w:r>
      <w:r w:rsidR="009F0899">
        <w:rPr>
          <w:b/>
          <w:sz w:val="24"/>
          <w:szCs w:val="24"/>
        </w:rPr>
        <w:t xml:space="preserve"> INC.</w:t>
      </w:r>
      <w:r w:rsidRPr="00DB384A">
        <w:rPr>
          <w:b/>
          <w:sz w:val="24"/>
          <w:szCs w:val="24"/>
        </w:rPr>
        <w:t xml:space="preserve"> (LEAF)</w:t>
      </w:r>
    </w:p>
    <w:p w:rsidR="00786AD8" w:rsidRPr="00DB384A" w:rsidRDefault="00786AD8" w:rsidP="004251D7">
      <w:pPr>
        <w:spacing w:after="120"/>
        <w:jc w:val="right"/>
        <w:rPr>
          <w:sz w:val="24"/>
          <w:szCs w:val="24"/>
        </w:rPr>
      </w:pPr>
      <w:r w:rsidRPr="00DB384A">
        <w:rPr>
          <w:sz w:val="24"/>
          <w:szCs w:val="24"/>
        </w:rPr>
        <w:t>Intervener</w:t>
      </w:r>
    </w:p>
    <w:p w:rsidR="001C5AA9" w:rsidRPr="00DB384A" w:rsidRDefault="001C5AA9" w:rsidP="0058563B">
      <w:pPr>
        <w:spacing w:after="0" w:line="240" w:lineRule="auto"/>
        <w:rPr>
          <w:sz w:val="24"/>
          <w:szCs w:val="24"/>
          <w:u w:val="single"/>
        </w:rPr>
      </w:pP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p>
    <w:p w:rsidR="00241E31" w:rsidRPr="00DB384A" w:rsidRDefault="00786AD8" w:rsidP="0058563B">
      <w:pPr>
        <w:spacing w:after="0" w:line="240" w:lineRule="auto"/>
        <w:jc w:val="center"/>
        <w:rPr>
          <w:b/>
          <w:sz w:val="24"/>
          <w:szCs w:val="24"/>
        </w:rPr>
      </w:pPr>
      <w:r w:rsidRPr="00DB384A">
        <w:rPr>
          <w:b/>
          <w:sz w:val="24"/>
          <w:szCs w:val="24"/>
        </w:rPr>
        <w:t xml:space="preserve">FACTUM OF THE INTERVENER, </w:t>
      </w:r>
    </w:p>
    <w:p w:rsidR="00786AD8" w:rsidRPr="00DB384A" w:rsidRDefault="00786AD8" w:rsidP="0058563B">
      <w:pPr>
        <w:spacing w:after="0" w:line="240" w:lineRule="auto"/>
        <w:jc w:val="center"/>
        <w:rPr>
          <w:b/>
          <w:sz w:val="24"/>
          <w:szCs w:val="24"/>
        </w:rPr>
      </w:pPr>
      <w:r w:rsidRPr="00DB384A">
        <w:rPr>
          <w:b/>
          <w:sz w:val="24"/>
          <w:szCs w:val="24"/>
        </w:rPr>
        <w:t>WOMEN’S LEGAL EDUCATION AND ACTION FUND INC.</w:t>
      </w:r>
      <w:r w:rsidR="001C5AA9" w:rsidRPr="00DB384A">
        <w:rPr>
          <w:b/>
          <w:sz w:val="24"/>
          <w:szCs w:val="24"/>
        </w:rPr>
        <w:t xml:space="preserve"> (LEAF)</w:t>
      </w:r>
    </w:p>
    <w:p w:rsidR="004F3BFE" w:rsidRPr="00DB384A" w:rsidRDefault="00786AD8" w:rsidP="0058563B">
      <w:pPr>
        <w:spacing w:after="120" w:line="240" w:lineRule="auto"/>
        <w:rPr>
          <w:sz w:val="24"/>
          <w:szCs w:val="24"/>
          <w:u w:val="single"/>
        </w:rPr>
      </w:pP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Pr="00DB384A">
        <w:rPr>
          <w:sz w:val="24"/>
          <w:szCs w:val="24"/>
          <w:u w:val="single"/>
        </w:rPr>
        <w:tab/>
      </w:r>
      <w:r w:rsidR="001C5AA9" w:rsidRPr="00DB384A">
        <w:rPr>
          <w:sz w:val="24"/>
          <w:szCs w:val="24"/>
          <w:u w:val="single"/>
        </w:rPr>
        <w:tab/>
      </w:r>
      <w:r w:rsidR="001C5AA9" w:rsidRPr="00DB384A">
        <w:rPr>
          <w:sz w:val="24"/>
          <w:szCs w:val="24"/>
          <w:u w:val="single"/>
        </w:rPr>
        <w:tab/>
      </w:r>
    </w:p>
    <w:p w:rsidR="00786AD8" w:rsidRPr="00DB384A" w:rsidRDefault="00907C59" w:rsidP="009A4E07">
      <w:pPr>
        <w:pStyle w:val="Heading1"/>
        <w:spacing w:before="0" w:after="240"/>
        <w:rPr>
          <w:rFonts w:ascii="Times New Roman" w:hAnsi="Times New Roman" w:cs="Times New Roman"/>
          <w:sz w:val="24"/>
          <w:szCs w:val="24"/>
        </w:rPr>
      </w:pPr>
      <w:r w:rsidRPr="00DB384A">
        <w:rPr>
          <w:rFonts w:ascii="Times New Roman" w:hAnsi="Times New Roman" w:cs="Times New Roman"/>
          <w:sz w:val="24"/>
          <w:szCs w:val="24"/>
        </w:rPr>
        <w:t xml:space="preserve">PART I - </w:t>
      </w:r>
      <w:r w:rsidR="00C54E41" w:rsidRPr="00DB384A">
        <w:rPr>
          <w:rFonts w:ascii="Times New Roman" w:hAnsi="Times New Roman" w:cs="Times New Roman"/>
          <w:sz w:val="24"/>
          <w:szCs w:val="24"/>
        </w:rPr>
        <w:t>Overview</w:t>
      </w:r>
    </w:p>
    <w:p w:rsidR="00BB199F" w:rsidRPr="00DB384A" w:rsidRDefault="009D7AF8"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Th</w:t>
      </w:r>
      <w:r w:rsidR="00B96C6A" w:rsidRPr="00DB384A">
        <w:rPr>
          <w:rFonts w:ascii="Times New Roman" w:hAnsi="Times New Roman" w:cs="Times New Roman"/>
          <w:sz w:val="24"/>
          <w:szCs w:val="24"/>
        </w:rPr>
        <w:t>is</w:t>
      </w:r>
      <w:r w:rsidRPr="00DB384A">
        <w:rPr>
          <w:rFonts w:ascii="Times New Roman" w:hAnsi="Times New Roman" w:cs="Times New Roman"/>
          <w:sz w:val="24"/>
          <w:szCs w:val="24"/>
        </w:rPr>
        <w:t xml:space="preserve"> appeal addresses provisions of the </w:t>
      </w:r>
      <w:r w:rsidRPr="00DB384A">
        <w:rPr>
          <w:rFonts w:ascii="Times New Roman" w:hAnsi="Times New Roman" w:cs="Times New Roman"/>
          <w:i/>
          <w:sz w:val="24"/>
          <w:szCs w:val="24"/>
        </w:rPr>
        <w:t xml:space="preserve">Indian Act, </w:t>
      </w:r>
      <w:r w:rsidRPr="00DB384A">
        <w:rPr>
          <w:rFonts w:ascii="Times New Roman" w:hAnsi="Times New Roman" w:cs="Times New Roman"/>
          <w:sz w:val="24"/>
          <w:szCs w:val="24"/>
        </w:rPr>
        <w:t xml:space="preserve">RSC 1985 c I-5 </w:t>
      </w:r>
      <w:r w:rsidR="00C8600F" w:rsidRPr="00DB384A">
        <w:rPr>
          <w:rFonts w:ascii="Times New Roman" w:hAnsi="Times New Roman" w:cs="Times New Roman"/>
          <w:sz w:val="24"/>
          <w:szCs w:val="24"/>
        </w:rPr>
        <w:t xml:space="preserve">[“the </w:t>
      </w:r>
      <w:r w:rsidR="00C8600F" w:rsidRPr="00DB384A">
        <w:rPr>
          <w:rFonts w:ascii="Times New Roman" w:hAnsi="Times New Roman" w:cs="Times New Roman"/>
          <w:i/>
          <w:sz w:val="24"/>
          <w:szCs w:val="24"/>
        </w:rPr>
        <w:t>Indian Act</w:t>
      </w:r>
      <w:r w:rsidR="00C8600F" w:rsidRPr="00DB384A">
        <w:rPr>
          <w:rFonts w:ascii="Times New Roman" w:hAnsi="Times New Roman" w:cs="Times New Roman"/>
          <w:sz w:val="24"/>
          <w:szCs w:val="24"/>
        </w:rPr>
        <w:t>”]</w:t>
      </w:r>
      <w:r w:rsidR="00936659" w:rsidRPr="00DB384A">
        <w:rPr>
          <w:rFonts w:ascii="Times New Roman" w:hAnsi="Times New Roman" w:cs="Times New Roman"/>
          <w:sz w:val="24"/>
          <w:szCs w:val="24"/>
        </w:rPr>
        <w:t xml:space="preserve"> </w:t>
      </w:r>
      <w:r w:rsidR="0039506B">
        <w:rPr>
          <w:rFonts w:ascii="Times New Roman" w:hAnsi="Times New Roman" w:cs="Times New Roman"/>
          <w:sz w:val="24"/>
          <w:szCs w:val="24"/>
        </w:rPr>
        <w:t xml:space="preserve">and the associated </w:t>
      </w:r>
      <w:r w:rsidR="004F3AED" w:rsidRPr="00DB384A">
        <w:rPr>
          <w:rFonts w:ascii="Times New Roman" w:hAnsi="Times New Roman" w:cs="Times New Roman"/>
          <w:sz w:val="24"/>
          <w:szCs w:val="24"/>
        </w:rPr>
        <w:t>Proof of Paternity P</w:t>
      </w:r>
      <w:r w:rsidR="006100CF" w:rsidRPr="00DB384A">
        <w:rPr>
          <w:rFonts w:ascii="Times New Roman" w:hAnsi="Times New Roman" w:cs="Times New Roman"/>
          <w:sz w:val="24"/>
          <w:szCs w:val="24"/>
        </w:rPr>
        <w:t>olicy</w:t>
      </w:r>
      <w:r w:rsidR="00524370" w:rsidRPr="00DB384A">
        <w:rPr>
          <w:rFonts w:ascii="Times New Roman" w:hAnsi="Times New Roman" w:cs="Times New Roman"/>
          <w:sz w:val="24"/>
          <w:szCs w:val="24"/>
        </w:rPr>
        <w:t xml:space="preserve"> [“the Policy”]</w:t>
      </w:r>
      <w:r w:rsidR="006100CF" w:rsidRPr="00DB384A">
        <w:rPr>
          <w:rFonts w:ascii="Times New Roman" w:hAnsi="Times New Roman" w:cs="Times New Roman"/>
          <w:sz w:val="24"/>
          <w:szCs w:val="24"/>
        </w:rPr>
        <w:t xml:space="preserve"> </w:t>
      </w:r>
      <w:r w:rsidR="00976A6F" w:rsidRPr="00DB384A">
        <w:rPr>
          <w:rFonts w:ascii="Times New Roman" w:hAnsi="Times New Roman" w:cs="Times New Roman"/>
          <w:sz w:val="24"/>
          <w:szCs w:val="24"/>
        </w:rPr>
        <w:t xml:space="preserve">that </w:t>
      </w:r>
      <w:r w:rsidR="00D90AF6">
        <w:rPr>
          <w:rFonts w:ascii="Times New Roman" w:hAnsi="Times New Roman" w:cs="Times New Roman"/>
          <w:sz w:val="24"/>
          <w:szCs w:val="24"/>
        </w:rPr>
        <w:t>set</w:t>
      </w:r>
      <w:r w:rsidR="006100CF" w:rsidRPr="00DB384A">
        <w:rPr>
          <w:rFonts w:ascii="Times New Roman" w:hAnsi="Times New Roman" w:cs="Times New Roman"/>
          <w:sz w:val="24"/>
          <w:szCs w:val="24"/>
        </w:rPr>
        <w:t xml:space="preserve"> out the evidentiary requirements for proving a child’s paternity</w:t>
      </w:r>
      <w:r w:rsidR="0070237B">
        <w:rPr>
          <w:rFonts w:ascii="Times New Roman" w:hAnsi="Times New Roman" w:cs="Times New Roman"/>
          <w:sz w:val="24"/>
          <w:szCs w:val="24"/>
        </w:rPr>
        <w:t>.</w:t>
      </w:r>
      <w:r w:rsidR="0039506B">
        <w:rPr>
          <w:rFonts w:ascii="Times New Roman" w:hAnsi="Times New Roman" w:cs="Times New Roman"/>
          <w:sz w:val="24"/>
          <w:szCs w:val="24"/>
        </w:rPr>
        <w:t xml:space="preserve"> Together, they</w:t>
      </w:r>
      <w:r w:rsidR="00F8533E">
        <w:rPr>
          <w:rFonts w:ascii="Times New Roman" w:hAnsi="Times New Roman" w:cs="Times New Roman"/>
          <w:sz w:val="24"/>
          <w:szCs w:val="24"/>
        </w:rPr>
        <w:t xml:space="preserve"> </w:t>
      </w:r>
      <w:r w:rsidR="009650DC" w:rsidRPr="00DB384A">
        <w:rPr>
          <w:rFonts w:ascii="Times New Roman" w:hAnsi="Times New Roman" w:cs="Times New Roman"/>
          <w:sz w:val="24"/>
          <w:szCs w:val="24"/>
        </w:rPr>
        <w:t xml:space="preserve">impose </w:t>
      </w:r>
      <w:r w:rsidR="0044294D" w:rsidRPr="00DB384A">
        <w:rPr>
          <w:rFonts w:ascii="Times New Roman" w:hAnsi="Times New Roman" w:cs="Times New Roman"/>
          <w:sz w:val="24"/>
          <w:szCs w:val="24"/>
        </w:rPr>
        <w:t>an impossible burden</w:t>
      </w:r>
      <w:r w:rsidR="009650DC" w:rsidRPr="00DB384A">
        <w:rPr>
          <w:rFonts w:ascii="Times New Roman" w:hAnsi="Times New Roman" w:cs="Times New Roman"/>
          <w:sz w:val="24"/>
          <w:szCs w:val="24"/>
        </w:rPr>
        <w:t xml:space="preserve"> on</w:t>
      </w:r>
      <w:r w:rsidRPr="00DB384A">
        <w:rPr>
          <w:rFonts w:ascii="Times New Roman" w:hAnsi="Times New Roman" w:cs="Times New Roman"/>
          <w:sz w:val="24"/>
          <w:szCs w:val="24"/>
        </w:rPr>
        <w:t xml:space="preserve"> </w:t>
      </w:r>
      <w:r w:rsidR="00C13E84" w:rsidRPr="00DB384A">
        <w:rPr>
          <w:rFonts w:ascii="Times New Roman" w:hAnsi="Times New Roman" w:cs="Times New Roman"/>
          <w:sz w:val="24"/>
          <w:szCs w:val="24"/>
        </w:rPr>
        <w:t xml:space="preserve">Registered </w:t>
      </w:r>
      <w:r w:rsidR="00AB0CF0" w:rsidRPr="00DB384A">
        <w:rPr>
          <w:rFonts w:ascii="Times New Roman" w:hAnsi="Times New Roman" w:cs="Times New Roman"/>
          <w:sz w:val="24"/>
          <w:szCs w:val="24"/>
        </w:rPr>
        <w:t>Indi</w:t>
      </w:r>
      <w:r w:rsidR="00C13E84" w:rsidRPr="00DB384A">
        <w:rPr>
          <w:rFonts w:ascii="Times New Roman" w:hAnsi="Times New Roman" w:cs="Times New Roman"/>
          <w:sz w:val="24"/>
          <w:szCs w:val="24"/>
        </w:rPr>
        <w:t>an</w:t>
      </w:r>
      <w:r w:rsidR="00907C59" w:rsidRPr="00DB384A">
        <w:rPr>
          <w:rFonts w:ascii="Times New Roman" w:hAnsi="Times New Roman" w:cs="Times New Roman"/>
          <w:sz w:val="24"/>
          <w:szCs w:val="24"/>
        </w:rPr>
        <w:t xml:space="preserve"> </w:t>
      </w:r>
      <w:r w:rsidRPr="00DB384A">
        <w:rPr>
          <w:rFonts w:ascii="Times New Roman" w:hAnsi="Times New Roman" w:cs="Times New Roman"/>
          <w:sz w:val="24"/>
          <w:szCs w:val="24"/>
        </w:rPr>
        <w:t>wom</w:t>
      </w:r>
      <w:r w:rsidR="009650DC" w:rsidRPr="00DB384A">
        <w:rPr>
          <w:rFonts w:ascii="Times New Roman" w:hAnsi="Times New Roman" w:cs="Times New Roman"/>
          <w:sz w:val="24"/>
          <w:szCs w:val="24"/>
        </w:rPr>
        <w:t>e</w:t>
      </w:r>
      <w:r w:rsidR="00907C59" w:rsidRPr="00DB384A">
        <w:rPr>
          <w:rFonts w:ascii="Times New Roman" w:hAnsi="Times New Roman" w:cs="Times New Roman"/>
          <w:sz w:val="24"/>
          <w:szCs w:val="24"/>
        </w:rPr>
        <w:t>n</w:t>
      </w:r>
      <w:r w:rsidRPr="00DB384A">
        <w:rPr>
          <w:rFonts w:ascii="Times New Roman" w:hAnsi="Times New Roman" w:cs="Times New Roman"/>
          <w:sz w:val="24"/>
          <w:szCs w:val="24"/>
        </w:rPr>
        <w:t xml:space="preserve"> </w:t>
      </w:r>
      <w:r w:rsidR="005B5FE5" w:rsidRPr="00DB384A">
        <w:rPr>
          <w:rFonts w:ascii="Times New Roman" w:hAnsi="Times New Roman" w:cs="Times New Roman"/>
          <w:sz w:val="24"/>
          <w:szCs w:val="24"/>
        </w:rPr>
        <w:t xml:space="preserve">who </w:t>
      </w:r>
      <w:r w:rsidR="0039506B">
        <w:rPr>
          <w:rFonts w:ascii="Times New Roman" w:hAnsi="Times New Roman" w:cs="Times New Roman"/>
          <w:sz w:val="24"/>
          <w:szCs w:val="24"/>
        </w:rPr>
        <w:t>are unable to prove the paternity of their children, or are only able to do so at an unacceptable cost</w:t>
      </w:r>
      <w:r w:rsidR="005B5FE5" w:rsidRPr="00DB384A">
        <w:rPr>
          <w:rFonts w:ascii="Times New Roman" w:hAnsi="Times New Roman" w:cs="Times New Roman"/>
          <w:sz w:val="24"/>
          <w:szCs w:val="24"/>
        </w:rPr>
        <w:t xml:space="preserve">, </w:t>
      </w:r>
      <w:r w:rsidR="009F0899">
        <w:rPr>
          <w:rFonts w:ascii="Times New Roman" w:hAnsi="Times New Roman" w:cs="Times New Roman"/>
          <w:sz w:val="24"/>
          <w:szCs w:val="24"/>
        </w:rPr>
        <w:t>and functionally prevent</w:t>
      </w:r>
      <w:r w:rsidR="005B5FE5" w:rsidRPr="00DB384A">
        <w:rPr>
          <w:rFonts w:ascii="Times New Roman" w:hAnsi="Times New Roman" w:cs="Times New Roman"/>
          <w:sz w:val="24"/>
          <w:szCs w:val="24"/>
        </w:rPr>
        <w:t xml:space="preserve"> many women fro</w:t>
      </w:r>
      <w:r w:rsidR="004C75F5" w:rsidRPr="00DB384A">
        <w:rPr>
          <w:rFonts w:ascii="Times New Roman" w:hAnsi="Times New Roman" w:cs="Times New Roman"/>
          <w:sz w:val="24"/>
          <w:szCs w:val="24"/>
        </w:rPr>
        <w:t>m passing on their Indian status</w:t>
      </w:r>
      <w:r w:rsidR="009F0899">
        <w:rPr>
          <w:rFonts w:ascii="Times New Roman" w:hAnsi="Times New Roman" w:cs="Times New Roman"/>
          <w:sz w:val="24"/>
          <w:szCs w:val="24"/>
        </w:rPr>
        <w:t xml:space="preserve"> to their </w:t>
      </w:r>
      <w:r w:rsidR="0070237B">
        <w:rPr>
          <w:rFonts w:ascii="Times New Roman" w:hAnsi="Times New Roman" w:cs="Times New Roman"/>
          <w:sz w:val="24"/>
          <w:szCs w:val="24"/>
        </w:rPr>
        <w:t>children and grandchildren</w:t>
      </w:r>
      <w:r w:rsidRPr="00DB384A">
        <w:rPr>
          <w:rFonts w:ascii="Times New Roman" w:hAnsi="Times New Roman" w:cs="Times New Roman"/>
          <w:sz w:val="24"/>
          <w:szCs w:val="24"/>
        </w:rPr>
        <w:t>.</w:t>
      </w:r>
      <w:r w:rsidR="00180174" w:rsidRPr="00DB384A">
        <w:rPr>
          <w:rFonts w:ascii="Times New Roman" w:hAnsi="Times New Roman" w:cs="Times New Roman"/>
          <w:sz w:val="24"/>
          <w:szCs w:val="24"/>
        </w:rPr>
        <w:t xml:space="preserve"> </w:t>
      </w:r>
      <w:r w:rsidR="009E31ED">
        <w:rPr>
          <w:rFonts w:ascii="Times New Roman" w:hAnsi="Times New Roman" w:cs="Times New Roman"/>
          <w:sz w:val="24"/>
          <w:szCs w:val="24"/>
        </w:rPr>
        <w:t xml:space="preserve">The appeal </w:t>
      </w:r>
      <w:r w:rsidR="00907C59" w:rsidRPr="00DB384A">
        <w:rPr>
          <w:rFonts w:ascii="Times New Roman" w:hAnsi="Times New Roman" w:cs="Times New Roman"/>
          <w:sz w:val="24"/>
          <w:szCs w:val="24"/>
        </w:rPr>
        <w:t xml:space="preserve">is the latest in a string of cases that have sought to address sex discrimination in registration </w:t>
      </w:r>
      <w:r w:rsidR="00840C8A" w:rsidRPr="00DB384A">
        <w:rPr>
          <w:rFonts w:ascii="Times New Roman" w:hAnsi="Times New Roman" w:cs="Times New Roman"/>
          <w:sz w:val="24"/>
          <w:szCs w:val="24"/>
        </w:rPr>
        <w:t>under the</w:t>
      </w:r>
      <w:r w:rsidR="00907C59" w:rsidRPr="00DB384A">
        <w:rPr>
          <w:rFonts w:ascii="Times New Roman" w:hAnsi="Times New Roman" w:cs="Times New Roman"/>
          <w:sz w:val="24"/>
          <w:szCs w:val="24"/>
        </w:rPr>
        <w:t xml:space="preserve"> </w:t>
      </w:r>
      <w:r w:rsidR="007760D0" w:rsidRPr="00DB384A">
        <w:rPr>
          <w:rFonts w:ascii="Times New Roman" w:hAnsi="Times New Roman" w:cs="Times New Roman"/>
          <w:i/>
          <w:sz w:val="24"/>
          <w:szCs w:val="24"/>
        </w:rPr>
        <w:t>Indian Act</w:t>
      </w:r>
      <w:r w:rsidR="00825B19" w:rsidRPr="00DB384A">
        <w:rPr>
          <w:rFonts w:ascii="Times New Roman" w:hAnsi="Times New Roman" w:cs="Times New Roman"/>
          <w:sz w:val="24"/>
          <w:szCs w:val="24"/>
        </w:rPr>
        <w:t>.</w:t>
      </w:r>
      <w:r w:rsidR="001F7775" w:rsidRPr="00DB384A">
        <w:rPr>
          <w:rStyle w:val="FootnoteReference"/>
          <w:rFonts w:ascii="Times New Roman" w:hAnsi="Times New Roman" w:cs="Times New Roman"/>
          <w:sz w:val="24"/>
          <w:szCs w:val="24"/>
        </w:rPr>
        <w:footnoteReference w:id="2"/>
      </w:r>
      <w:r w:rsidR="00825B19" w:rsidRPr="00DB384A">
        <w:rPr>
          <w:rFonts w:ascii="Times New Roman" w:hAnsi="Times New Roman" w:cs="Times New Roman"/>
          <w:sz w:val="24"/>
          <w:szCs w:val="24"/>
        </w:rPr>
        <w:t xml:space="preserve"> </w:t>
      </w:r>
      <w:r w:rsidR="00907C59" w:rsidRPr="00DB384A">
        <w:rPr>
          <w:rFonts w:ascii="Times New Roman" w:hAnsi="Times New Roman" w:cs="Times New Roman"/>
          <w:sz w:val="24"/>
          <w:szCs w:val="24"/>
        </w:rPr>
        <w:t xml:space="preserve"> </w:t>
      </w:r>
      <w:r w:rsidR="00606B30" w:rsidRPr="00DB384A">
        <w:rPr>
          <w:rFonts w:ascii="Times New Roman" w:hAnsi="Times New Roman" w:cs="Times New Roman"/>
          <w:sz w:val="24"/>
          <w:szCs w:val="24"/>
        </w:rPr>
        <w:t xml:space="preserve"> </w:t>
      </w:r>
    </w:p>
    <w:p w:rsidR="00400546" w:rsidRPr="00DB384A" w:rsidRDefault="00750627"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lastRenderedPageBreak/>
        <w:t xml:space="preserve">Section 15 of the </w:t>
      </w:r>
      <w:r w:rsidRPr="00DB384A">
        <w:rPr>
          <w:rFonts w:ascii="Times New Roman" w:hAnsi="Times New Roman" w:cs="Times New Roman"/>
          <w:i/>
          <w:sz w:val="24"/>
          <w:szCs w:val="24"/>
        </w:rPr>
        <w:t>Charter of Rights and Freedoms</w:t>
      </w:r>
      <w:r w:rsidR="009B3550" w:rsidRPr="00DB384A">
        <w:rPr>
          <w:rFonts w:ascii="Times New Roman" w:hAnsi="Times New Roman" w:cs="Times New Roman"/>
          <w:sz w:val="24"/>
          <w:szCs w:val="24"/>
        </w:rPr>
        <w:t xml:space="preserve"> </w:t>
      </w:r>
      <w:r w:rsidR="00577B5D" w:rsidRPr="00DB384A">
        <w:rPr>
          <w:rFonts w:ascii="Times New Roman" w:hAnsi="Times New Roman" w:cs="Times New Roman"/>
          <w:sz w:val="24"/>
          <w:szCs w:val="24"/>
        </w:rPr>
        <w:t xml:space="preserve">[“the </w:t>
      </w:r>
      <w:r w:rsidR="00577B5D" w:rsidRPr="00DB384A">
        <w:rPr>
          <w:rFonts w:ascii="Times New Roman" w:hAnsi="Times New Roman" w:cs="Times New Roman"/>
          <w:i/>
          <w:sz w:val="24"/>
          <w:szCs w:val="24"/>
        </w:rPr>
        <w:t>Charter</w:t>
      </w:r>
      <w:r w:rsidR="00577B5D" w:rsidRPr="00DB384A">
        <w:rPr>
          <w:rFonts w:ascii="Times New Roman" w:hAnsi="Times New Roman" w:cs="Times New Roman"/>
          <w:sz w:val="24"/>
          <w:szCs w:val="24"/>
        </w:rPr>
        <w:t>”]</w:t>
      </w:r>
      <w:r w:rsidR="00436091" w:rsidRPr="00DB384A">
        <w:rPr>
          <w:rFonts w:ascii="Times New Roman" w:hAnsi="Times New Roman" w:cs="Times New Roman"/>
          <w:sz w:val="24"/>
          <w:szCs w:val="24"/>
        </w:rPr>
        <w:t xml:space="preserve"> </w:t>
      </w:r>
      <w:r w:rsidR="009B3550" w:rsidRPr="00DB384A">
        <w:rPr>
          <w:rFonts w:ascii="Times New Roman" w:hAnsi="Times New Roman" w:cs="Times New Roman"/>
          <w:sz w:val="24"/>
          <w:szCs w:val="24"/>
        </w:rPr>
        <w:t>guarantees</w:t>
      </w:r>
      <w:r w:rsidRPr="00DB384A">
        <w:rPr>
          <w:rFonts w:ascii="Times New Roman" w:hAnsi="Times New Roman" w:cs="Times New Roman"/>
          <w:sz w:val="24"/>
          <w:szCs w:val="24"/>
        </w:rPr>
        <w:t xml:space="preserve"> substantive</w:t>
      </w:r>
      <w:r w:rsidR="00E92226" w:rsidRPr="00DB384A">
        <w:rPr>
          <w:rFonts w:ascii="Times New Roman" w:hAnsi="Times New Roman" w:cs="Times New Roman"/>
          <w:sz w:val="24"/>
          <w:szCs w:val="24"/>
        </w:rPr>
        <w:t>, rather than formal,</w:t>
      </w:r>
      <w:r w:rsidR="009B3550" w:rsidRPr="00DB384A">
        <w:rPr>
          <w:rFonts w:ascii="Times New Roman" w:hAnsi="Times New Roman" w:cs="Times New Roman"/>
          <w:sz w:val="24"/>
          <w:szCs w:val="24"/>
        </w:rPr>
        <w:t xml:space="preserve"> </w:t>
      </w:r>
      <w:r w:rsidR="00736047" w:rsidRPr="00DB384A">
        <w:rPr>
          <w:rFonts w:ascii="Times New Roman" w:hAnsi="Times New Roman" w:cs="Times New Roman"/>
          <w:sz w:val="24"/>
          <w:szCs w:val="24"/>
        </w:rPr>
        <w:t xml:space="preserve">equality. </w:t>
      </w:r>
      <w:r w:rsidR="00E92226" w:rsidRPr="00DB384A">
        <w:rPr>
          <w:rFonts w:ascii="Times New Roman" w:hAnsi="Times New Roman" w:cs="Times New Roman"/>
          <w:sz w:val="24"/>
          <w:szCs w:val="24"/>
        </w:rPr>
        <w:t>A substantive equality approach</w:t>
      </w:r>
      <w:r w:rsidR="00E92226" w:rsidRPr="00DB384A">
        <w:rPr>
          <w:rFonts w:ascii="Times New Roman" w:hAnsi="Times New Roman" w:cs="Times New Roman"/>
        </w:rPr>
        <w:t xml:space="preserve"> </w:t>
      </w:r>
      <w:r w:rsidR="00E92226" w:rsidRPr="00DB384A">
        <w:rPr>
          <w:rFonts w:ascii="Times New Roman" w:hAnsi="Times New Roman" w:cs="Times New Roman"/>
          <w:sz w:val="24"/>
          <w:szCs w:val="24"/>
        </w:rPr>
        <w:t>“recognizes that persistent systemic disadvantages have operated to limit the opportunities available to members of certain groups in society and seeks to prevent conduct that perpetuates those disadvantages.”</w:t>
      </w:r>
      <w:r w:rsidR="00E92226" w:rsidRPr="00DB384A">
        <w:rPr>
          <w:rStyle w:val="FootnoteReference"/>
          <w:rFonts w:ascii="Times New Roman" w:hAnsi="Times New Roman" w:cs="Times New Roman"/>
          <w:sz w:val="24"/>
          <w:szCs w:val="24"/>
        </w:rPr>
        <w:footnoteReference w:id="3"/>
      </w:r>
      <w:r w:rsidR="009658EB" w:rsidRPr="00DB384A">
        <w:rPr>
          <w:rFonts w:ascii="Times New Roman" w:hAnsi="Times New Roman" w:cs="Times New Roman"/>
          <w:sz w:val="24"/>
          <w:szCs w:val="24"/>
        </w:rPr>
        <w:t xml:space="preserve"> </w:t>
      </w:r>
      <w:r w:rsidR="00BA7BFA">
        <w:rPr>
          <w:rFonts w:ascii="Times New Roman" w:hAnsi="Times New Roman" w:cs="Times New Roman"/>
          <w:sz w:val="24"/>
          <w:szCs w:val="24"/>
        </w:rPr>
        <w:t>It requires</w:t>
      </w:r>
      <w:r w:rsidR="00400546" w:rsidRPr="00DB384A">
        <w:rPr>
          <w:rFonts w:ascii="Times New Roman" w:hAnsi="Times New Roman" w:cs="Times New Roman"/>
          <w:sz w:val="24"/>
          <w:szCs w:val="24"/>
        </w:rPr>
        <w:t xml:space="preserve"> careful attention to the history, context and lived experience of the claimant group. Applying a substantive equality </w:t>
      </w:r>
      <w:r w:rsidR="00C873FA" w:rsidRPr="00DB384A">
        <w:rPr>
          <w:rFonts w:ascii="Times New Roman" w:hAnsi="Times New Roman" w:cs="Times New Roman"/>
          <w:sz w:val="24"/>
          <w:szCs w:val="24"/>
        </w:rPr>
        <w:t xml:space="preserve">approach, LEAF submits that </w:t>
      </w:r>
      <w:r w:rsidR="00400546" w:rsidRPr="00DB384A">
        <w:rPr>
          <w:rFonts w:ascii="Times New Roman" w:hAnsi="Times New Roman" w:cs="Times New Roman"/>
          <w:sz w:val="24"/>
          <w:szCs w:val="24"/>
        </w:rPr>
        <w:t xml:space="preserve">the registration provisions of the </w:t>
      </w:r>
      <w:r w:rsidR="00400546" w:rsidRPr="00DB384A">
        <w:rPr>
          <w:rFonts w:ascii="Times New Roman" w:hAnsi="Times New Roman" w:cs="Times New Roman"/>
          <w:i/>
          <w:sz w:val="24"/>
          <w:szCs w:val="24"/>
        </w:rPr>
        <w:t>Indian Act</w:t>
      </w:r>
      <w:r w:rsidR="00840C8A" w:rsidRPr="00DB384A">
        <w:rPr>
          <w:rFonts w:ascii="Times New Roman" w:hAnsi="Times New Roman" w:cs="Times New Roman"/>
          <w:sz w:val="24"/>
          <w:szCs w:val="24"/>
        </w:rPr>
        <w:t xml:space="preserve">, as they are implemented by the </w:t>
      </w:r>
      <w:r w:rsidR="00400546" w:rsidRPr="00DB384A">
        <w:rPr>
          <w:rFonts w:ascii="Times New Roman" w:hAnsi="Times New Roman" w:cs="Times New Roman"/>
          <w:sz w:val="24"/>
          <w:szCs w:val="24"/>
        </w:rPr>
        <w:t>Policy</w:t>
      </w:r>
      <w:r w:rsidR="00840C8A" w:rsidRPr="00DB384A">
        <w:rPr>
          <w:rFonts w:ascii="Times New Roman" w:hAnsi="Times New Roman" w:cs="Times New Roman"/>
          <w:sz w:val="24"/>
          <w:szCs w:val="24"/>
        </w:rPr>
        <w:t>,</w:t>
      </w:r>
      <w:r w:rsidR="00400546" w:rsidRPr="00DB384A">
        <w:rPr>
          <w:rFonts w:ascii="Times New Roman" w:hAnsi="Times New Roman" w:cs="Times New Roman"/>
          <w:sz w:val="24"/>
          <w:szCs w:val="24"/>
        </w:rPr>
        <w:t xml:space="preserve"> </w:t>
      </w:r>
      <w:r w:rsidR="004C75F5" w:rsidRPr="00DB384A">
        <w:rPr>
          <w:rFonts w:ascii="Times New Roman" w:hAnsi="Times New Roman" w:cs="Times New Roman"/>
          <w:sz w:val="24"/>
          <w:szCs w:val="24"/>
        </w:rPr>
        <w:t xml:space="preserve">create a distinction </w:t>
      </w:r>
      <w:proofErr w:type="gramStart"/>
      <w:r w:rsidR="00400546" w:rsidRPr="00DB384A">
        <w:rPr>
          <w:rFonts w:ascii="Times New Roman" w:hAnsi="Times New Roman" w:cs="Times New Roman"/>
          <w:sz w:val="24"/>
          <w:szCs w:val="24"/>
        </w:rPr>
        <w:t>on the basis of</w:t>
      </w:r>
      <w:proofErr w:type="gramEnd"/>
      <w:r w:rsidR="00400546" w:rsidRPr="00DB384A">
        <w:rPr>
          <w:rFonts w:ascii="Times New Roman" w:hAnsi="Times New Roman" w:cs="Times New Roman"/>
          <w:sz w:val="24"/>
          <w:szCs w:val="24"/>
        </w:rPr>
        <w:t xml:space="preserve"> sex</w:t>
      </w:r>
      <w:r w:rsidR="0039506B">
        <w:rPr>
          <w:rFonts w:ascii="Times New Roman" w:hAnsi="Times New Roman" w:cs="Times New Roman"/>
          <w:sz w:val="24"/>
          <w:szCs w:val="24"/>
        </w:rPr>
        <w:t xml:space="preserve"> and</w:t>
      </w:r>
      <w:r w:rsidR="00400546" w:rsidRPr="00DB384A">
        <w:rPr>
          <w:rFonts w:ascii="Times New Roman" w:hAnsi="Times New Roman" w:cs="Times New Roman"/>
          <w:sz w:val="24"/>
          <w:szCs w:val="24"/>
        </w:rPr>
        <w:t xml:space="preserve"> marital status</w:t>
      </w:r>
      <w:r w:rsidR="00F8533E">
        <w:rPr>
          <w:rFonts w:ascii="Times New Roman" w:hAnsi="Times New Roman" w:cs="Times New Roman"/>
          <w:sz w:val="24"/>
          <w:szCs w:val="24"/>
        </w:rPr>
        <w:t xml:space="preserve"> </w:t>
      </w:r>
      <w:r w:rsidR="009E31ED">
        <w:rPr>
          <w:rFonts w:ascii="Times New Roman" w:hAnsi="Times New Roman" w:cs="Times New Roman"/>
          <w:sz w:val="24"/>
          <w:szCs w:val="24"/>
        </w:rPr>
        <w:t>that constitutes discrimination</w:t>
      </w:r>
      <w:r w:rsidR="0039055B">
        <w:rPr>
          <w:rFonts w:ascii="Times New Roman" w:hAnsi="Times New Roman" w:cs="Times New Roman"/>
          <w:sz w:val="24"/>
          <w:szCs w:val="24"/>
        </w:rPr>
        <w:t>.</w:t>
      </w:r>
      <w:r w:rsidR="00400546" w:rsidRPr="00DB384A">
        <w:rPr>
          <w:rFonts w:ascii="Times New Roman" w:hAnsi="Times New Roman" w:cs="Times New Roman"/>
          <w:sz w:val="24"/>
          <w:szCs w:val="24"/>
        </w:rPr>
        <w:t xml:space="preserve"> The</w:t>
      </w:r>
      <w:r w:rsidR="0032740C" w:rsidRPr="00DB384A">
        <w:rPr>
          <w:rFonts w:ascii="Times New Roman" w:hAnsi="Times New Roman" w:cs="Times New Roman"/>
          <w:sz w:val="24"/>
          <w:szCs w:val="24"/>
        </w:rPr>
        <w:t xml:space="preserve">y serve to </w:t>
      </w:r>
      <w:r w:rsidR="00400546" w:rsidRPr="00DB384A">
        <w:rPr>
          <w:rFonts w:ascii="Times New Roman" w:hAnsi="Times New Roman" w:cs="Times New Roman"/>
          <w:sz w:val="24"/>
          <w:szCs w:val="24"/>
        </w:rPr>
        <w:t>“widen the gap” between</w:t>
      </w:r>
      <w:r w:rsidR="00E51F4B">
        <w:rPr>
          <w:rFonts w:ascii="Times New Roman" w:hAnsi="Times New Roman" w:cs="Times New Roman"/>
          <w:sz w:val="24"/>
          <w:szCs w:val="24"/>
        </w:rPr>
        <w:t xml:space="preserve"> </w:t>
      </w:r>
      <w:r w:rsidR="00400546" w:rsidRPr="00DB384A">
        <w:rPr>
          <w:rFonts w:ascii="Times New Roman" w:hAnsi="Times New Roman" w:cs="Times New Roman"/>
          <w:sz w:val="24"/>
          <w:szCs w:val="24"/>
        </w:rPr>
        <w:t>Registered Indian</w:t>
      </w:r>
      <w:r w:rsidR="008C680B">
        <w:rPr>
          <w:rFonts w:ascii="Times New Roman" w:hAnsi="Times New Roman" w:cs="Times New Roman"/>
          <w:sz w:val="24"/>
          <w:szCs w:val="24"/>
        </w:rPr>
        <w:t xml:space="preserve"> </w:t>
      </w:r>
      <w:r w:rsidR="00400546" w:rsidRPr="00DB384A">
        <w:rPr>
          <w:rFonts w:ascii="Times New Roman" w:hAnsi="Times New Roman" w:cs="Times New Roman"/>
          <w:sz w:val="24"/>
          <w:szCs w:val="24"/>
        </w:rPr>
        <w:t>women</w:t>
      </w:r>
      <w:r w:rsidR="00CB6D06">
        <w:rPr>
          <w:rFonts w:ascii="Times New Roman" w:hAnsi="Times New Roman" w:cs="Times New Roman"/>
          <w:sz w:val="24"/>
          <w:szCs w:val="24"/>
        </w:rPr>
        <w:t xml:space="preserve"> </w:t>
      </w:r>
      <w:r w:rsidR="00400546" w:rsidRPr="00DB384A">
        <w:rPr>
          <w:rFonts w:ascii="Times New Roman" w:hAnsi="Times New Roman" w:cs="Times New Roman"/>
          <w:sz w:val="24"/>
          <w:szCs w:val="24"/>
        </w:rPr>
        <w:t xml:space="preserve">and </w:t>
      </w:r>
      <w:r w:rsidR="006C5BD3">
        <w:rPr>
          <w:rFonts w:ascii="Times New Roman" w:hAnsi="Times New Roman" w:cs="Times New Roman"/>
          <w:sz w:val="24"/>
          <w:szCs w:val="24"/>
        </w:rPr>
        <w:t>other members of</w:t>
      </w:r>
      <w:r w:rsidR="00E51F4B">
        <w:rPr>
          <w:rFonts w:ascii="Times New Roman" w:hAnsi="Times New Roman" w:cs="Times New Roman"/>
          <w:sz w:val="24"/>
          <w:szCs w:val="24"/>
        </w:rPr>
        <w:t xml:space="preserve"> society</w:t>
      </w:r>
      <w:r w:rsidR="00C26942">
        <w:rPr>
          <w:rFonts w:ascii="Times New Roman" w:hAnsi="Times New Roman" w:cs="Times New Roman"/>
          <w:sz w:val="24"/>
          <w:szCs w:val="24"/>
        </w:rPr>
        <w:t>, and</w:t>
      </w:r>
      <w:r w:rsidR="000E7211">
        <w:rPr>
          <w:rFonts w:ascii="Times New Roman" w:hAnsi="Times New Roman" w:cs="Times New Roman"/>
          <w:sz w:val="24"/>
          <w:szCs w:val="24"/>
        </w:rPr>
        <w:t xml:space="preserve"> </w:t>
      </w:r>
      <w:r w:rsidR="008C680B">
        <w:rPr>
          <w:rFonts w:ascii="Times New Roman" w:hAnsi="Times New Roman" w:cs="Times New Roman"/>
          <w:sz w:val="24"/>
          <w:szCs w:val="24"/>
        </w:rPr>
        <w:t>fail to</w:t>
      </w:r>
      <w:r w:rsidR="00E51F4B">
        <w:rPr>
          <w:rFonts w:ascii="Times New Roman" w:hAnsi="Times New Roman" w:cs="Times New Roman"/>
          <w:sz w:val="24"/>
          <w:szCs w:val="24"/>
        </w:rPr>
        <w:t xml:space="preserve"> account for the lived realities of Registered Indian women who cannot</w:t>
      </w:r>
      <w:r w:rsidR="00C5474C">
        <w:rPr>
          <w:rFonts w:ascii="Times New Roman" w:hAnsi="Times New Roman" w:cs="Times New Roman"/>
          <w:sz w:val="24"/>
          <w:szCs w:val="24"/>
        </w:rPr>
        <w:t>,</w:t>
      </w:r>
      <w:r w:rsidR="00E51F4B">
        <w:rPr>
          <w:rFonts w:ascii="Times New Roman" w:hAnsi="Times New Roman" w:cs="Times New Roman"/>
          <w:sz w:val="24"/>
          <w:szCs w:val="24"/>
        </w:rPr>
        <w:t xml:space="preserve"> or effectively cannot</w:t>
      </w:r>
      <w:r w:rsidR="00C5474C">
        <w:rPr>
          <w:rFonts w:ascii="Times New Roman" w:hAnsi="Times New Roman" w:cs="Times New Roman"/>
          <w:sz w:val="24"/>
          <w:szCs w:val="24"/>
        </w:rPr>
        <w:t>,</w:t>
      </w:r>
      <w:r w:rsidR="00E51F4B">
        <w:rPr>
          <w:rFonts w:ascii="Times New Roman" w:hAnsi="Times New Roman" w:cs="Times New Roman"/>
          <w:sz w:val="24"/>
          <w:szCs w:val="24"/>
        </w:rPr>
        <w:t xml:space="preserve"> </w:t>
      </w:r>
      <w:r w:rsidR="00D90AF6">
        <w:rPr>
          <w:rFonts w:ascii="Times New Roman" w:hAnsi="Times New Roman" w:cs="Times New Roman"/>
          <w:sz w:val="24"/>
          <w:szCs w:val="24"/>
        </w:rPr>
        <w:t>prove</w:t>
      </w:r>
      <w:r w:rsidR="00E51F4B">
        <w:rPr>
          <w:rFonts w:ascii="Times New Roman" w:hAnsi="Times New Roman" w:cs="Times New Roman"/>
          <w:sz w:val="24"/>
          <w:szCs w:val="24"/>
        </w:rPr>
        <w:t xml:space="preserve"> the paternity of their children. </w:t>
      </w:r>
      <w:r w:rsidR="009E31ED">
        <w:rPr>
          <w:rFonts w:ascii="Times New Roman" w:hAnsi="Times New Roman" w:cs="Times New Roman"/>
          <w:sz w:val="24"/>
          <w:szCs w:val="24"/>
        </w:rPr>
        <w:t xml:space="preserve">The </w:t>
      </w:r>
      <w:r w:rsidR="009E31ED" w:rsidRPr="008C680B">
        <w:rPr>
          <w:rFonts w:ascii="Times New Roman" w:hAnsi="Times New Roman" w:cs="Times New Roman"/>
          <w:i/>
          <w:sz w:val="24"/>
          <w:szCs w:val="24"/>
        </w:rPr>
        <w:t>Indian Act</w:t>
      </w:r>
      <w:r w:rsidR="009E31ED">
        <w:rPr>
          <w:rFonts w:ascii="Times New Roman" w:hAnsi="Times New Roman" w:cs="Times New Roman"/>
          <w:sz w:val="24"/>
          <w:szCs w:val="24"/>
        </w:rPr>
        <w:t xml:space="preserve"> provision</w:t>
      </w:r>
      <w:r w:rsidR="00A345A6">
        <w:rPr>
          <w:rFonts w:ascii="Times New Roman" w:hAnsi="Times New Roman" w:cs="Times New Roman"/>
          <w:sz w:val="24"/>
          <w:szCs w:val="24"/>
        </w:rPr>
        <w:t>s</w:t>
      </w:r>
      <w:r w:rsidR="00E51F4B">
        <w:rPr>
          <w:rFonts w:ascii="Times New Roman" w:hAnsi="Times New Roman" w:cs="Times New Roman"/>
          <w:sz w:val="24"/>
          <w:szCs w:val="24"/>
        </w:rPr>
        <w:t xml:space="preserve"> as implemented by the Policy therefore </w:t>
      </w:r>
      <w:r w:rsidR="00294DF2" w:rsidRPr="00DB384A">
        <w:rPr>
          <w:rFonts w:ascii="Times New Roman" w:hAnsi="Times New Roman" w:cs="Times New Roman"/>
          <w:sz w:val="24"/>
          <w:szCs w:val="24"/>
        </w:rPr>
        <w:t xml:space="preserve">constitute discrimination under the meaning of s. 15(1).  </w:t>
      </w:r>
    </w:p>
    <w:p w:rsidR="00294DF2" w:rsidRPr="00440454" w:rsidRDefault="00A345A6" w:rsidP="00440454">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LEAF submits that it is possible t</w:t>
      </w:r>
      <w:r w:rsidR="00F8533E">
        <w:rPr>
          <w:rFonts w:ascii="Times New Roman" w:hAnsi="Times New Roman" w:cs="Times New Roman"/>
          <w:sz w:val="24"/>
          <w:szCs w:val="24"/>
        </w:rPr>
        <w:t xml:space="preserve">o </w:t>
      </w:r>
      <w:r w:rsidR="00E51F4B">
        <w:rPr>
          <w:rFonts w:ascii="Times New Roman" w:hAnsi="Times New Roman" w:cs="Times New Roman"/>
          <w:sz w:val="24"/>
          <w:szCs w:val="24"/>
        </w:rPr>
        <w:t>remedy</w:t>
      </w:r>
      <w:r w:rsidR="00F8533E">
        <w:rPr>
          <w:rFonts w:ascii="Times New Roman" w:hAnsi="Times New Roman" w:cs="Times New Roman"/>
          <w:sz w:val="24"/>
          <w:szCs w:val="24"/>
        </w:rPr>
        <w:t xml:space="preserve"> this</w:t>
      </w:r>
      <w:r>
        <w:rPr>
          <w:rFonts w:ascii="Times New Roman" w:hAnsi="Times New Roman" w:cs="Times New Roman"/>
          <w:sz w:val="24"/>
          <w:szCs w:val="24"/>
        </w:rPr>
        <w:t xml:space="preserve"> discrimination</w:t>
      </w:r>
      <w:r w:rsidR="00481603">
        <w:rPr>
          <w:rFonts w:ascii="Times New Roman" w:hAnsi="Times New Roman" w:cs="Times New Roman"/>
          <w:sz w:val="24"/>
          <w:szCs w:val="24"/>
        </w:rPr>
        <w:t xml:space="preserve"> without striking down s. 6</w:t>
      </w:r>
      <w:r>
        <w:rPr>
          <w:rFonts w:ascii="Times New Roman" w:hAnsi="Times New Roman" w:cs="Times New Roman"/>
          <w:sz w:val="24"/>
          <w:szCs w:val="24"/>
        </w:rPr>
        <w:t xml:space="preserve"> by amending the</w:t>
      </w:r>
      <w:r w:rsidR="00440454" w:rsidRPr="009F4D7A">
        <w:rPr>
          <w:rFonts w:ascii="Times New Roman" w:hAnsi="Times New Roman" w:cs="Times New Roman"/>
          <w:sz w:val="24"/>
          <w:szCs w:val="24"/>
        </w:rPr>
        <w:t xml:space="preserve"> Policy to allow Registered Indian women who cannot</w:t>
      </w:r>
      <w:r w:rsidR="00C5474C">
        <w:rPr>
          <w:rFonts w:ascii="Times New Roman" w:hAnsi="Times New Roman" w:cs="Times New Roman"/>
          <w:sz w:val="24"/>
          <w:szCs w:val="24"/>
        </w:rPr>
        <w:t>,</w:t>
      </w:r>
      <w:r w:rsidR="00440454" w:rsidRPr="009F4D7A">
        <w:rPr>
          <w:rFonts w:ascii="Times New Roman" w:hAnsi="Times New Roman" w:cs="Times New Roman"/>
          <w:sz w:val="24"/>
          <w:szCs w:val="24"/>
        </w:rPr>
        <w:t xml:space="preserve"> or effectively cannot</w:t>
      </w:r>
      <w:r w:rsidR="00C5474C">
        <w:rPr>
          <w:rFonts w:ascii="Times New Roman" w:hAnsi="Times New Roman" w:cs="Times New Roman"/>
          <w:sz w:val="24"/>
          <w:szCs w:val="24"/>
        </w:rPr>
        <w:t>,</w:t>
      </w:r>
      <w:r w:rsidR="00440454" w:rsidRPr="009F4D7A">
        <w:rPr>
          <w:rFonts w:ascii="Times New Roman" w:hAnsi="Times New Roman" w:cs="Times New Roman"/>
          <w:sz w:val="24"/>
          <w:szCs w:val="24"/>
        </w:rPr>
        <w:t xml:space="preserve"> prove the paternity of their children to</w:t>
      </w:r>
      <w:r w:rsidR="005F4D00">
        <w:rPr>
          <w:rFonts w:ascii="Times New Roman" w:hAnsi="Times New Roman" w:cs="Times New Roman"/>
          <w:sz w:val="24"/>
          <w:szCs w:val="24"/>
        </w:rPr>
        <w:t xml:space="preserve"> benefit from a rebuttable presumption of Indian paternity. </w:t>
      </w:r>
      <w:r w:rsidR="00440454">
        <w:rPr>
          <w:rFonts w:ascii="Times New Roman" w:hAnsi="Times New Roman" w:cs="Times New Roman"/>
          <w:sz w:val="24"/>
          <w:szCs w:val="24"/>
        </w:rPr>
        <w:t>If the Court concludes such a</w:t>
      </w:r>
      <w:r w:rsidR="005F4D00">
        <w:rPr>
          <w:rFonts w:ascii="Times New Roman" w:hAnsi="Times New Roman" w:cs="Times New Roman"/>
          <w:sz w:val="24"/>
          <w:szCs w:val="24"/>
        </w:rPr>
        <w:t xml:space="preserve"> presumption</w:t>
      </w:r>
      <w:r w:rsidR="00440454">
        <w:rPr>
          <w:rFonts w:ascii="Times New Roman" w:hAnsi="Times New Roman" w:cs="Times New Roman"/>
          <w:sz w:val="24"/>
          <w:szCs w:val="24"/>
        </w:rPr>
        <w:t xml:space="preserve"> is inconsistent with the wording of s. </w:t>
      </w:r>
      <w:proofErr w:type="gramStart"/>
      <w:r w:rsidR="00440454">
        <w:rPr>
          <w:rFonts w:ascii="Times New Roman" w:hAnsi="Times New Roman" w:cs="Times New Roman"/>
          <w:sz w:val="24"/>
          <w:szCs w:val="24"/>
        </w:rPr>
        <w:t>6</w:t>
      </w:r>
      <w:proofErr w:type="gramEnd"/>
      <w:r w:rsidR="00440454">
        <w:rPr>
          <w:rFonts w:ascii="Times New Roman" w:hAnsi="Times New Roman" w:cs="Times New Roman"/>
          <w:sz w:val="24"/>
          <w:szCs w:val="24"/>
        </w:rPr>
        <w:t xml:space="preserve">, however, </w:t>
      </w:r>
      <w:r w:rsidR="005F4D00">
        <w:rPr>
          <w:rFonts w:ascii="Times New Roman" w:hAnsi="Times New Roman" w:cs="Times New Roman"/>
          <w:sz w:val="24"/>
          <w:szCs w:val="24"/>
        </w:rPr>
        <w:t>then</w:t>
      </w:r>
      <w:r w:rsidR="00440454">
        <w:rPr>
          <w:rFonts w:ascii="Times New Roman" w:hAnsi="Times New Roman" w:cs="Times New Roman"/>
          <w:sz w:val="24"/>
          <w:szCs w:val="24"/>
        </w:rPr>
        <w:t xml:space="preserve"> s.</w:t>
      </w:r>
      <w:r w:rsidR="00481603">
        <w:rPr>
          <w:rFonts w:ascii="Times New Roman" w:hAnsi="Times New Roman" w:cs="Times New Roman"/>
          <w:sz w:val="24"/>
          <w:szCs w:val="24"/>
        </w:rPr>
        <w:t xml:space="preserve"> </w:t>
      </w:r>
      <w:r w:rsidR="00440454">
        <w:rPr>
          <w:rFonts w:ascii="Times New Roman" w:hAnsi="Times New Roman" w:cs="Times New Roman"/>
          <w:sz w:val="24"/>
          <w:szCs w:val="24"/>
        </w:rPr>
        <w:t xml:space="preserve">6 must be struck down. </w:t>
      </w:r>
    </w:p>
    <w:p w:rsidR="00907C59" w:rsidRPr="00DB384A" w:rsidRDefault="00C54E41" w:rsidP="009A4E07">
      <w:pPr>
        <w:pStyle w:val="Heading1"/>
        <w:spacing w:before="0" w:after="240"/>
        <w:rPr>
          <w:rFonts w:ascii="Times New Roman" w:hAnsi="Times New Roman" w:cs="Times New Roman"/>
          <w:sz w:val="24"/>
          <w:szCs w:val="24"/>
        </w:rPr>
      </w:pPr>
      <w:r w:rsidRPr="00DB384A">
        <w:rPr>
          <w:rFonts w:ascii="Times New Roman" w:hAnsi="Times New Roman" w:cs="Times New Roman"/>
          <w:sz w:val="24"/>
          <w:szCs w:val="24"/>
        </w:rPr>
        <w:t>PART II - Facts</w:t>
      </w:r>
    </w:p>
    <w:p w:rsidR="00C8600F" w:rsidRPr="00DB384A" w:rsidRDefault="00907C59" w:rsidP="009A4E07">
      <w:pPr>
        <w:pStyle w:val="Heading20"/>
        <w:spacing w:before="0" w:after="240"/>
        <w:rPr>
          <w:rFonts w:ascii="Times New Roman" w:hAnsi="Times New Roman"/>
          <w:i/>
          <w:sz w:val="24"/>
          <w:szCs w:val="24"/>
        </w:rPr>
      </w:pPr>
      <w:r w:rsidRPr="00DB384A">
        <w:rPr>
          <w:rFonts w:ascii="Times New Roman" w:hAnsi="Times New Roman"/>
          <w:sz w:val="24"/>
          <w:szCs w:val="24"/>
        </w:rPr>
        <w:t xml:space="preserve">A. </w:t>
      </w:r>
      <w:r w:rsidR="00C8600F" w:rsidRPr="00DB384A">
        <w:rPr>
          <w:rFonts w:ascii="Times New Roman" w:hAnsi="Times New Roman"/>
          <w:sz w:val="24"/>
          <w:szCs w:val="24"/>
        </w:rPr>
        <w:tab/>
      </w:r>
      <w:r w:rsidR="00FF4E51" w:rsidRPr="00DB384A">
        <w:rPr>
          <w:rFonts w:ascii="Times New Roman" w:hAnsi="Times New Roman"/>
          <w:sz w:val="24"/>
          <w:szCs w:val="24"/>
        </w:rPr>
        <w:t xml:space="preserve">The </w:t>
      </w:r>
      <w:r w:rsidR="00AD43C5" w:rsidRPr="00DB384A">
        <w:rPr>
          <w:rFonts w:ascii="Times New Roman" w:hAnsi="Times New Roman"/>
          <w:sz w:val="24"/>
          <w:szCs w:val="24"/>
        </w:rPr>
        <w:t xml:space="preserve">benefits associated with registration under the </w:t>
      </w:r>
      <w:r w:rsidR="00AD43C5" w:rsidRPr="00DB384A">
        <w:rPr>
          <w:rFonts w:ascii="Times New Roman" w:hAnsi="Times New Roman"/>
          <w:i/>
          <w:sz w:val="24"/>
          <w:szCs w:val="24"/>
        </w:rPr>
        <w:t>Indian Act</w:t>
      </w:r>
    </w:p>
    <w:p w:rsidR="0036084F" w:rsidRPr="00DB384A" w:rsidRDefault="000711C6"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Section 6 of the</w:t>
      </w:r>
      <w:r w:rsidR="00E11473" w:rsidRPr="00DB384A">
        <w:rPr>
          <w:rFonts w:ascii="Times New Roman" w:hAnsi="Times New Roman" w:cs="Times New Roman"/>
          <w:sz w:val="24"/>
          <w:szCs w:val="24"/>
        </w:rPr>
        <w:t xml:space="preserve"> </w:t>
      </w:r>
      <w:r w:rsidR="00E11473" w:rsidRPr="00DB384A">
        <w:rPr>
          <w:rFonts w:ascii="Times New Roman" w:hAnsi="Times New Roman" w:cs="Times New Roman"/>
          <w:i/>
          <w:sz w:val="24"/>
          <w:szCs w:val="24"/>
        </w:rPr>
        <w:t>Indian Act</w:t>
      </w:r>
      <w:r w:rsidR="00E11473" w:rsidRPr="00DB384A">
        <w:rPr>
          <w:rFonts w:ascii="Times New Roman" w:hAnsi="Times New Roman" w:cs="Times New Roman"/>
          <w:sz w:val="24"/>
          <w:szCs w:val="24"/>
        </w:rPr>
        <w:t xml:space="preserve"> governs entitlement to registration </w:t>
      </w:r>
      <w:r w:rsidRPr="00DB384A">
        <w:rPr>
          <w:rFonts w:ascii="Times New Roman" w:hAnsi="Times New Roman" w:cs="Times New Roman"/>
          <w:sz w:val="24"/>
          <w:szCs w:val="24"/>
        </w:rPr>
        <w:t>under the Act</w:t>
      </w:r>
      <w:r w:rsidR="00416EBE" w:rsidRPr="00DB384A">
        <w:rPr>
          <w:rFonts w:ascii="Times New Roman" w:hAnsi="Times New Roman" w:cs="Times New Roman"/>
          <w:sz w:val="24"/>
          <w:szCs w:val="24"/>
        </w:rPr>
        <w:t xml:space="preserve"> </w:t>
      </w:r>
      <w:r w:rsidR="00E11473" w:rsidRPr="00DB384A">
        <w:rPr>
          <w:rFonts w:ascii="Times New Roman" w:hAnsi="Times New Roman" w:cs="Times New Roman"/>
          <w:sz w:val="24"/>
          <w:szCs w:val="24"/>
        </w:rPr>
        <w:t xml:space="preserve">– often simply called “Indian </w:t>
      </w:r>
      <w:r w:rsidR="00416EBE" w:rsidRPr="00DB384A">
        <w:rPr>
          <w:rFonts w:ascii="Times New Roman" w:hAnsi="Times New Roman" w:cs="Times New Roman"/>
          <w:sz w:val="24"/>
          <w:szCs w:val="24"/>
        </w:rPr>
        <w:t>s</w:t>
      </w:r>
      <w:r w:rsidR="00E11473" w:rsidRPr="00DB384A">
        <w:rPr>
          <w:rFonts w:ascii="Times New Roman" w:hAnsi="Times New Roman" w:cs="Times New Roman"/>
          <w:sz w:val="24"/>
          <w:szCs w:val="24"/>
        </w:rPr>
        <w:t xml:space="preserve">tatus”. </w:t>
      </w:r>
      <w:r w:rsidR="00416EBE" w:rsidRPr="00DB384A">
        <w:rPr>
          <w:rFonts w:ascii="Times New Roman" w:hAnsi="Times New Roman" w:cs="Times New Roman"/>
          <w:sz w:val="24"/>
          <w:szCs w:val="24"/>
        </w:rPr>
        <w:t xml:space="preserve">Registration acts </w:t>
      </w:r>
      <w:r w:rsidR="0050346D" w:rsidRPr="00DB384A">
        <w:rPr>
          <w:rFonts w:ascii="Times New Roman" w:hAnsi="Times New Roman" w:cs="Times New Roman"/>
          <w:sz w:val="24"/>
          <w:szCs w:val="24"/>
        </w:rPr>
        <w:t xml:space="preserve">as a </w:t>
      </w:r>
      <w:r w:rsidR="00127FE0">
        <w:rPr>
          <w:rFonts w:ascii="Times New Roman" w:hAnsi="Times New Roman" w:cs="Times New Roman"/>
          <w:sz w:val="24"/>
          <w:szCs w:val="24"/>
        </w:rPr>
        <w:t>portal</w:t>
      </w:r>
      <w:r w:rsidR="00F176F6">
        <w:rPr>
          <w:rFonts w:ascii="Times New Roman" w:hAnsi="Times New Roman" w:cs="Times New Roman"/>
          <w:sz w:val="24"/>
          <w:szCs w:val="24"/>
        </w:rPr>
        <w:t xml:space="preserve"> </w:t>
      </w:r>
      <w:r w:rsidR="000558D6">
        <w:rPr>
          <w:rFonts w:ascii="Times New Roman" w:hAnsi="Times New Roman" w:cs="Times New Roman"/>
          <w:sz w:val="24"/>
          <w:szCs w:val="24"/>
        </w:rPr>
        <w:t>for</w:t>
      </w:r>
      <w:r w:rsidR="009E31ED">
        <w:rPr>
          <w:rFonts w:ascii="Times New Roman" w:hAnsi="Times New Roman" w:cs="Times New Roman"/>
          <w:sz w:val="24"/>
          <w:szCs w:val="24"/>
        </w:rPr>
        <w:t xml:space="preserve"> access</w:t>
      </w:r>
      <w:r w:rsidR="0058576E" w:rsidRPr="00DB384A">
        <w:rPr>
          <w:rFonts w:ascii="Times New Roman" w:hAnsi="Times New Roman" w:cs="Times New Roman"/>
          <w:sz w:val="24"/>
          <w:szCs w:val="24"/>
        </w:rPr>
        <w:t xml:space="preserve"> to </w:t>
      </w:r>
      <w:r w:rsidR="00803A80" w:rsidRPr="00DB384A">
        <w:rPr>
          <w:rFonts w:ascii="Times New Roman" w:hAnsi="Times New Roman" w:cs="Times New Roman"/>
          <w:sz w:val="24"/>
          <w:szCs w:val="24"/>
        </w:rPr>
        <w:t>material benefits</w:t>
      </w:r>
      <w:r w:rsidR="000B07D5" w:rsidRPr="00DB384A">
        <w:rPr>
          <w:rFonts w:ascii="Times New Roman" w:hAnsi="Times New Roman" w:cs="Times New Roman"/>
          <w:sz w:val="24"/>
          <w:szCs w:val="24"/>
        </w:rPr>
        <w:t xml:space="preserve">, </w:t>
      </w:r>
      <w:r w:rsidR="000B07D5" w:rsidRPr="00DB384A">
        <w:rPr>
          <w:rFonts w:ascii="Times New Roman" w:hAnsi="Times New Roman" w:cs="Times New Roman"/>
          <w:sz w:val="24"/>
          <w:szCs w:val="24"/>
        </w:rPr>
        <w:lastRenderedPageBreak/>
        <w:t xml:space="preserve">including </w:t>
      </w:r>
      <w:r w:rsidR="00736047" w:rsidRPr="00DB384A">
        <w:rPr>
          <w:rFonts w:ascii="Times New Roman" w:hAnsi="Times New Roman" w:cs="Times New Roman"/>
          <w:sz w:val="24"/>
          <w:szCs w:val="24"/>
        </w:rPr>
        <w:t>tax exemptions,</w:t>
      </w:r>
      <w:r w:rsidR="00803A80" w:rsidRPr="00DB384A">
        <w:rPr>
          <w:rFonts w:ascii="Times New Roman" w:hAnsi="Times New Roman" w:cs="Times New Roman"/>
          <w:sz w:val="24"/>
          <w:szCs w:val="24"/>
        </w:rPr>
        <w:t xml:space="preserve"> extended health coverage and financial assistance with post-secondary education</w:t>
      </w:r>
      <w:r w:rsidR="000B07D5" w:rsidRPr="00DB384A">
        <w:rPr>
          <w:rFonts w:ascii="Times New Roman" w:hAnsi="Times New Roman" w:cs="Times New Roman"/>
          <w:sz w:val="24"/>
          <w:szCs w:val="24"/>
        </w:rPr>
        <w:t>,</w:t>
      </w:r>
      <w:r w:rsidR="00803A80" w:rsidRPr="00DB384A">
        <w:rPr>
          <w:rStyle w:val="FootnoteReference"/>
          <w:rFonts w:ascii="Times New Roman" w:hAnsi="Times New Roman" w:cs="Times New Roman"/>
          <w:sz w:val="24"/>
          <w:szCs w:val="24"/>
        </w:rPr>
        <w:footnoteReference w:id="4"/>
      </w:r>
      <w:r w:rsidR="005A112F" w:rsidRPr="00DB384A">
        <w:rPr>
          <w:rFonts w:ascii="Times New Roman" w:hAnsi="Times New Roman" w:cs="Times New Roman"/>
          <w:sz w:val="24"/>
          <w:szCs w:val="24"/>
        </w:rPr>
        <w:t xml:space="preserve"> as well as</w:t>
      </w:r>
      <w:r w:rsidR="000B07D5" w:rsidRPr="00DB384A">
        <w:rPr>
          <w:rFonts w:ascii="Times New Roman" w:hAnsi="Times New Roman" w:cs="Times New Roman"/>
          <w:sz w:val="24"/>
          <w:szCs w:val="24"/>
        </w:rPr>
        <w:t xml:space="preserve"> intangible benefits such as</w:t>
      </w:r>
      <w:r w:rsidR="00803A80" w:rsidRPr="00DB384A">
        <w:rPr>
          <w:rFonts w:ascii="Times New Roman" w:hAnsi="Times New Roman" w:cs="Times New Roman"/>
          <w:sz w:val="24"/>
          <w:szCs w:val="24"/>
        </w:rPr>
        <w:t xml:space="preserve"> a sense of belonging, recognition and cultural connection.</w:t>
      </w:r>
      <w:r w:rsidR="00803A80" w:rsidRPr="00DB384A">
        <w:rPr>
          <w:rStyle w:val="FootnoteReference"/>
          <w:rFonts w:ascii="Times New Roman" w:hAnsi="Times New Roman" w:cs="Times New Roman"/>
          <w:sz w:val="24"/>
          <w:szCs w:val="24"/>
        </w:rPr>
        <w:footnoteReference w:id="5"/>
      </w:r>
      <w:r w:rsidR="00112D64" w:rsidRPr="00DB384A">
        <w:rPr>
          <w:rFonts w:ascii="Times New Roman" w:hAnsi="Times New Roman" w:cs="Times New Roman"/>
          <w:sz w:val="24"/>
          <w:szCs w:val="24"/>
        </w:rPr>
        <w:t xml:space="preserve"> </w:t>
      </w:r>
      <w:r w:rsidR="0054408F">
        <w:rPr>
          <w:rFonts w:ascii="Times New Roman" w:hAnsi="Times New Roman" w:cs="Times New Roman"/>
          <w:sz w:val="24"/>
          <w:szCs w:val="24"/>
        </w:rPr>
        <w:t>In many</w:t>
      </w:r>
      <w:r w:rsidR="005A112F" w:rsidRPr="00DB384A">
        <w:rPr>
          <w:rFonts w:ascii="Times New Roman" w:hAnsi="Times New Roman" w:cs="Times New Roman"/>
          <w:sz w:val="24"/>
          <w:szCs w:val="24"/>
        </w:rPr>
        <w:t xml:space="preserve"> First Nations, registration </w:t>
      </w:r>
      <w:proofErr w:type="gramStart"/>
      <w:r w:rsidR="005A112F" w:rsidRPr="00DB384A">
        <w:rPr>
          <w:rFonts w:ascii="Times New Roman" w:hAnsi="Times New Roman" w:cs="Times New Roman"/>
          <w:sz w:val="24"/>
          <w:szCs w:val="24"/>
        </w:rPr>
        <w:t>is</w:t>
      </w:r>
      <w:r w:rsidR="001C5AA9" w:rsidRPr="00DB384A">
        <w:rPr>
          <w:rFonts w:ascii="Times New Roman" w:hAnsi="Times New Roman" w:cs="Times New Roman"/>
          <w:sz w:val="24"/>
          <w:szCs w:val="24"/>
        </w:rPr>
        <w:t xml:space="preserve"> also</w:t>
      </w:r>
      <w:r w:rsidR="005A112F" w:rsidRPr="00DB384A">
        <w:rPr>
          <w:rFonts w:ascii="Times New Roman" w:hAnsi="Times New Roman" w:cs="Times New Roman"/>
          <w:sz w:val="24"/>
          <w:szCs w:val="24"/>
        </w:rPr>
        <w:t xml:space="preserve"> </w:t>
      </w:r>
      <w:r w:rsidR="00822039" w:rsidRPr="00DB384A">
        <w:rPr>
          <w:rFonts w:ascii="Times New Roman" w:hAnsi="Times New Roman" w:cs="Times New Roman"/>
          <w:sz w:val="24"/>
          <w:szCs w:val="24"/>
        </w:rPr>
        <w:t>tied</w:t>
      </w:r>
      <w:proofErr w:type="gramEnd"/>
      <w:r w:rsidR="00822039" w:rsidRPr="00DB384A">
        <w:rPr>
          <w:rFonts w:ascii="Times New Roman" w:hAnsi="Times New Roman" w:cs="Times New Roman"/>
          <w:sz w:val="24"/>
          <w:szCs w:val="24"/>
        </w:rPr>
        <w:t xml:space="preserve"> to </w:t>
      </w:r>
      <w:r w:rsidR="00DC48DA" w:rsidRPr="00DB384A">
        <w:rPr>
          <w:rFonts w:ascii="Times New Roman" w:hAnsi="Times New Roman" w:cs="Times New Roman"/>
          <w:sz w:val="24"/>
          <w:szCs w:val="24"/>
        </w:rPr>
        <w:t>band membership</w:t>
      </w:r>
      <w:r w:rsidR="00127FE0">
        <w:rPr>
          <w:rFonts w:ascii="Times New Roman" w:hAnsi="Times New Roman" w:cs="Times New Roman"/>
          <w:sz w:val="24"/>
          <w:szCs w:val="24"/>
        </w:rPr>
        <w:t>, and the ability to vote</w:t>
      </w:r>
      <w:r w:rsidR="00240FBD">
        <w:rPr>
          <w:rFonts w:ascii="Times New Roman" w:hAnsi="Times New Roman" w:cs="Times New Roman"/>
          <w:sz w:val="24"/>
          <w:szCs w:val="24"/>
        </w:rPr>
        <w:t xml:space="preserve"> and run</w:t>
      </w:r>
      <w:r w:rsidR="00127FE0">
        <w:rPr>
          <w:rFonts w:ascii="Times New Roman" w:hAnsi="Times New Roman" w:cs="Times New Roman"/>
          <w:sz w:val="24"/>
          <w:szCs w:val="24"/>
        </w:rPr>
        <w:t xml:space="preserve"> in band elections</w:t>
      </w:r>
      <w:r w:rsidR="00822039" w:rsidRPr="00DB384A">
        <w:rPr>
          <w:rFonts w:ascii="Times New Roman" w:hAnsi="Times New Roman" w:cs="Times New Roman"/>
          <w:sz w:val="24"/>
          <w:szCs w:val="24"/>
        </w:rPr>
        <w:t>.</w:t>
      </w:r>
      <w:r w:rsidR="00822039" w:rsidRPr="00DB384A">
        <w:rPr>
          <w:rStyle w:val="FootnoteReference"/>
          <w:rFonts w:ascii="Times New Roman" w:hAnsi="Times New Roman" w:cs="Times New Roman"/>
          <w:sz w:val="24"/>
          <w:szCs w:val="24"/>
        </w:rPr>
        <w:footnoteReference w:id="6"/>
      </w:r>
    </w:p>
    <w:p w:rsidR="0036084F" w:rsidRPr="00DB384A" w:rsidRDefault="000B07D5"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The ability to pass on Indian</w:t>
      </w:r>
      <w:r w:rsidR="0036084F" w:rsidRPr="00DB384A">
        <w:rPr>
          <w:rFonts w:ascii="Times New Roman" w:hAnsi="Times New Roman" w:cs="Times New Roman"/>
          <w:sz w:val="24"/>
          <w:szCs w:val="24"/>
        </w:rPr>
        <w:t xml:space="preserve"> status to one’s child</w:t>
      </w:r>
      <w:r w:rsidR="0044294D" w:rsidRPr="00DB384A">
        <w:rPr>
          <w:rFonts w:ascii="Times New Roman" w:hAnsi="Times New Roman" w:cs="Times New Roman"/>
          <w:sz w:val="24"/>
          <w:szCs w:val="24"/>
        </w:rPr>
        <w:t xml:space="preserve"> </w:t>
      </w:r>
      <w:r w:rsidR="0036084F" w:rsidRPr="00DB384A">
        <w:rPr>
          <w:rFonts w:ascii="Times New Roman" w:hAnsi="Times New Roman" w:cs="Times New Roman"/>
          <w:sz w:val="24"/>
          <w:szCs w:val="24"/>
        </w:rPr>
        <w:t>is a</w:t>
      </w:r>
      <w:r w:rsidR="0058576E" w:rsidRPr="00DB384A">
        <w:rPr>
          <w:rFonts w:ascii="Times New Roman" w:hAnsi="Times New Roman" w:cs="Times New Roman"/>
          <w:sz w:val="24"/>
          <w:szCs w:val="24"/>
        </w:rPr>
        <w:t xml:space="preserve"> significant</w:t>
      </w:r>
      <w:r w:rsidR="0036084F" w:rsidRPr="00DB384A">
        <w:rPr>
          <w:rFonts w:ascii="Times New Roman" w:hAnsi="Times New Roman" w:cs="Times New Roman"/>
          <w:sz w:val="24"/>
          <w:szCs w:val="24"/>
        </w:rPr>
        <w:t xml:space="preserve"> benefit</w:t>
      </w:r>
      <w:r w:rsidR="00C21CBE" w:rsidRPr="00DB384A">
        <w:rPr>
          <w:rFonts w:ascii="Times New Roman" w:hAnsi="Times New Roman" w:cs="Times New Roman"/>
          <w:sz w:val="24"/>
          <w:szCs w:val="24"/>
        </w:rPr>
        <w:t xml:space="preserve"> of the registration provisions</w:t>
      </w:r>
      <w:r w:rsidR="0036084F" w:rsidRPr="00DB384A">
        <w:rPr>
          <w:rFonts w:ascii="Times New Roman" w:hAnsi="Times New Roman" w:cs="Times New Roman"/>
          <w:i/>
          <w:sz w:val="24"/>
          <w:szCs w:val="24"/>
        </w:rPr>
        <w:t>.</w:t>
      </w:r>
      <w:r w:rsidR="00112D64" w:rsidRPr="00DB384A">
        <w:rPr>
          <w:rFonts w:ascii="Times New Roman" w:hAnsi="Times New Roman" w:cs="Times New Roman"/>
          <w:sz w:val="24"/>
          <w:szCs w:val="24"/>
        </w:rPr>
        <w:t xml:space="preserve"> </w:t>
      </w:r>
      <w:r w:rsidR="0036084F" w:rsidRPr="00DB384A">
        <w:rPr>
          <w:rFonts w:ascii="Times New Roman" w:hAnsi="Times New Roman" w:cs="Times New Roman"/>
          <w:sz w:val="24"/>
          <w:szCs w:val="24"/>
        </w:rPr>
        <w:t>As the Br</w:t>
      </w:r>
      <w:r w:rsidR="001921B8" w:rsidRPr="00DB384A">
        <w:rPr>
          <w:rFonts w:ascii="Times New Roman" w:hAnsi="Times New Roman" w:cs="Times New Roman"/>
          <w:sz w:val="24"/>
          <w:szCs w:val="24"/>
        </w:rPr>
        <w:t>itish Columbia Court of Appeal held</w:t>
      </w:r>
      <w:r w:rsidR="000558D6">
        <w:rPr>
          <w:rFonts w:ascii="Times New Roman" w:hAnsi="Times New Roman" w:cs="Times New Roman"/>
          <w:sz w:val="24"/>
          <w:szCs w:val="24"/>
        </w:rPr>
        <w:t>:</w:t>
      </w:r>
      <w:r w:rsidR="0036084F" w:rsidRPr="00DB384A">
        <w:rPr>
          <w:rFonts w:ascii="Times New Roman" w:hAnsi="Times New Roman" w:cs="Times New Roman"/>
          <w:sz w:val="24"/>
          <w:szCs w:val="24"/>
        </w:rPr>
        <w:t xml:space="preserve"> </w:t>
      </w:r>
    </w:p>
    <w:p w:rsidR="00AD43C5" w:rsidRPr="00DB384A" w:rsidRDefault="0036084F" w:rsidP="0066567D">
      <w:pPr>
        <w:pStyle w:val="Block1"/>
        <w:spacing w:after="240" w:line="240" w:lineRule="auto"/>
        <w:jc w:val="both"/>
        <w:rPr>
          <w:sz w:val="24"/>
          <w:szCs w:val="24"/>
        </w:rPr>
      </w:pPr>
      <w:r w:rsidRPr="00DB384A">
        <w:rPr>
          <w:sz w:val="24"/>
          <w:szCs w:val="24"/>
        </w:rPr>
        <w:t>Parents are responsible for their children’s upbringing, and financial benefits tha</w:t>
      </w:r>
      <w:r w:rsidR="00AE706C" w:rsidRPr="00DB384A">
        <w:rPr>
          <w:sz w:val="24"/>
          <w:szCs w:val="24"/>
        </w:rPr>
        <w:t>t</w:t>
      </w:r>
      <w:r w:rsidRPr="00DB384A">
        <w:rPr>
          <w:sz w:val="24"/>
          <w:szCs w:val="24"/>
        </w:rPr>
        <w:t xml:space="preserve"> an Indian child receives will, accordingly, alleviate burdens that would</w:t>
      </w:r>
      <w:r w:rsidR="0039055B">
        <w:rPr>
          <w:sz w:val="24"/>
          <w:szCs w:val="24"/>
        </w:rPr>
        <w:t xml:space="preserve"> otherwise fall on the parent. </w:t>
      </w:r>
      <w:r w:rsidRPr="00DB384A">
        <w:rPr>
          <w:sz w:val="24"/>
          <w:szCs w:val="24"/>
        </w:rPr>
        <w:t>Quite apart from such benefits, though, it seems to me that the ability to transmit Indian status to one’s offspring can be of significant spiritual and cultural value</w:t>
      </w:r>
      <w:r w:rsidR="00C4390A" w:rsidRPr="00DB384A">
        <w:rPr>
          <w:sz w:val="24"/>
          <w:szCs w:val="24"/>
        </w:rPr>
        <w:t>…</w:t>
      </w:r>
      <w:r w:rsidRPr="00DB384A">
        <w:rPr>
          <w:sz w:val="24"/>
          <w:szCs w:val="24"/>
        </w:rPr>
        <w:t xml:space="preserve"> the ability to pass on Indian status can be a matter of comfort and pride for a parent, even leaving aside the financial benefits that accrue to the famil</w:t>
      </w:r>
      <w:r w:rsidR="009178F3" w:rsidRPr="00DB384A">
        <w:rPr>
          <w:sz w:val="24"/>
          <w:szCs w:val="24"/>
        </w:rPr>
        <w:t>y.</w:t>
      </w:r>
      <w:r w:rsidRPr="00DB384A">
        <w:rPr>
          <w:rStyle w:val="FootnoteReference"/>
          <w:rFonts w:ascii="Times New Roman" w:hAnsi="Times New Roman" w:cs="Times New Roman"/>
          <w:sz w:val="24"/>
          <w:szCs w:val="24"/>
        </w:rPr>
        <w:footnoteReference w:id="7"/>
      </w:r>
    </w:p>
    <w:p w:rsidR="00AD43C5" w:rsidRPr="00DB384A" w:rsidRDefault="004D5D1D" w:rsidP="009A4E07">
      <w:pPr>
        <w:pStyle w:val="Heading20"/>
        <w:spacing w:before="0" w:after="240"/>
        <w:rPr>
          <w:rFonts w:ascii="Times New Roman" w:hAnsi="Times New Roman"/>
          <w:i/>
          <w:sz w:val="24"/>
          <w:szCs w:val="24"/>
        </w:rPr>
      </w:pPr>
      <w:r w:rsidRPr="00DB384A">
        <w:rPr>
          <w:rFonts w:ascii="Times New Roman" w:hAnsi="Times New Roman"/>
          <w:sz w:val="24"/>
          <w:szCs w:val="24"/>
        </w:rPr>
        <w:t>B.</w:t>
      </w:r>
      <w:r w:rsidRPr="00DB384A">
        <w:rPr>
          <w:rFonts w:ascii="Times New Roman" w:hAnsi="Times New Roman"/>
          <w:sz w:val="24"/>
          <w:szCs w:val="24"/>
        </w:rPr>
        <w:tab/>
        <w:t xml:space="preserve">The </w:t>
      </w:r>
      <w:r w:rsidR="00AB38D5" w:rsidRPr="00DB384A">
        <w:rPr>
          <w:rFonts w:ascii="Times New Roman" w:hAnsi="Times New Roman"/>
          <w:sz w:val="24"/>
          <w:szCs w:val="24"/>
        </w:rPr>
        <w:t>h</w:t>
      </w:r>
      <w:r w:rsidRPr="00DB384A">
        <w:rPr>
          <w:rFonts w:ascii="Times New Roman" w:hAnsi="Times New Roman"/>
          <w:sz w:val="24"/>
          <w:szCs w:val="24"/>
        </w:rPr>
        <w:t xml:space="preserve">istory of </w:t>
      </w:r>
      <w:r w:rsidR="00AB38D5" w:rsidRPr="00DB384A">
        <w:rPr>
          <w:rFonts w:ascii="Times New Roman" w:hAnsi="Times New Roman"/>
          <w:sz w:val="24"/>
          <w:szCs w:val="24"/>
        </w:rPr>
        <w:t>d</w:t>
      </w:r>
      <w:r w:rsidRPr="00DB384A">
        <w:rPr>
          <w:rFonts w:ascii="Times New Roman" w:hAnsi="Times New Roman"/>
          <w:sz w:val="24"/>
          <w:szCs w:val="24"/>
        </w:rPr>
        <w:t xml:space="preserve">iscrimination in the </w:t>
      </w:r>
      <w:r w:rsidR="00AB38D5" w:rsidRPr="00DB384A">
        <w:rPr>
          <w:rFonts w:ascii="Times New Roman" w:hAnsi="Times New Roman"/>
          <w:sz w:val="24"/>
          <w:szCs w:val="24"/>
        </w:rPr>
        <w:t>p</w:t>
      </w:r>
      <w:r w:rsidRPr="00DB384A">
        <w:rPr>
          <w:rFonts w:ascii="Times New Roman" w:hAnsi="Times New Roman"/>
          <w:sz w:val="24"/>
          <w:szCs w:val="24"/>
        </w:rPr>
        <w:t xml:space="preserve">rovisions </w:t>
      </w:r>
      <w:r w:rsidR="00AB38D5" w:rsidRPr="00DB384A">
        <w:rPr>
          <w:rFonts w:ascii="Times New Roman" w:hAnsi="Times New Roman"/>
          <w:sz w:val="24"/>
          <w:szCs w:val="24"/>
        </w:rPr>
        <w:t>g</w:t>
      </w:r>
      <w:r w:rsidRPr="00DB384A">
        <w:rPr>
          <w:rFonts w:ascii="Times New Roman" w:hAnsi="Times New Roman"/>
          <w:sz w:val="24"/>
          <w:szCs w:val="24"/>
        </w:rPr>
        <w:t xml:space="preserve">overning Indian </w:t>
      </w:r>
      <w:r w:rsidR="00AB38D5" w:rsidRPr="00DB384A">
        <w:rPr>
          <w:rFonts w:ascii="Times New Roman" w:hAnsi="Times New Roman"/>
          <w:sz w:val="24"/>
          <w:szCs w:val="24"/>
        </w:rPr>
        <w:t>s</w:t>
      </w:r>
      <w:r w:rsidRPr="00DB384A">
        <w:rPr>
          <w:rFonts w:ascii="Times New Roman" w:hAnsi="Times New Roman"/>
          <w:sz w:val="24"/>
          <w:szCs w:val="24"/>
        </w:rPr>
        <w:t>tatus</w:t>
      </w:r>
    </w:p>
    <w:p w:rsidR="00E11473" w:rsidRPr="00DB384A" w:rsidRDefault="00FA3655"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Throughout</w:t>
      </w:r>
      <w:r w:rsidR="00AD43C5" w:rsidRPr="00DB384A">
        <w:rPr>
          <w:rFonts w:ascii="Times New Roman" w:hAnsi="Times New Roman" w:cs="Times New Roman"/>
          <w:sz w:val="24"/>
          <w:szCs w:val="24"/>
        </w:rPr>
        <w:t xml:space="preserve"> the</w:t>
      </w:r>
      <w:r w:rsidR="008907C1" w:rsidRPr="00DB384A">
        <w:rPr>
          <w:rFonts w:ascii="Times New Roman" w:hAnsi="Times New Roman" w:cs="Times New Roman"/>
          <w:sz w:val="24"/>
          <w:szCs w:val="24"/>
        </w:rPr>
        <w:t xml:space="preserve"> long history of the</w:t>
      </w:r>
      <w:r w:rsidR="00AD43C5" w:rsidRPr="00DB384A">
        <w:rPr>
          <w:rFonts w:ascii="Times New Roman" w:hAnsi="Times New Roman" w:cs="Times New Roman"/>
          <w:sz w:val="24"/>
          <w:szCs w:val="24"/>
        </w:rPr>
        <w:t xml:space="preserve"> </w:t>
      </w:r>
      <w:r w:rsidR="00AD43C5" w:rsidRPr="00DB384A">
        <w:rPr>
          <w:rFonts w:ascii="Times New Roman" w:hAnsi="Times New Roman" w:cs="Times New Roman"/>
          <w:i/>
          <w:sz w:val="24"/>
          <w:szCs w:val="24"/>
        </w:rPr>
        <w:t>Indian Act</w:t>
      </w:r>
      <w:r w:rsidR="008907C1" w:rsidRPr="00DB384A">
        <w:rPr>
          <w:rFonts w:ascii="Times New Roman" w:hAnsi="Times New Roman" w:cs="Times New Roman"/>
          <w:sz w:val="24"/>
          <w:szCs w:val="24"/>
        </w:rPr>
        <w:t>, its</w:t>
      </w:r>
      <w:r w:rsidR="00AD43C5" w:rsidRPr="00DB384A">
        <w:rPr>
          <w:rFonts w:ascii="Times New Roman" w:hAnsi="Times New Roman" w:cs="Times New Roman"/>
          <w:sz w:val="24"/>
          <w:szCs w:val="24"/>
        </w:rPr>
        <w:t xml:space="preserve"> provisions governing entitlement to </w:t>
      </w:r>
      <w:r w:rsidR="000558D6">
        <w:rPr>
          <w:rFonts w:ascii="Times New Roman" w:hAnsi="Times New Roman" w:cs="Times New Roman"/>
          <w:sz w:val="24"/>
          <w:szCs w:val="24"/>
        </w:rPr>
        <w:t xml:space="preserve">and transmission of </w:t>
      </w:r>
      <w:r w:rsidR="00BB199F" w:rsidRPr="00DB384A">
        <w:rPr>
          <w:rFonts w:ascii="Times New Roman" w:hAnsi="Times New Roman" w:cs="Times New Roman"/>
          <w:sz w:val="24"/>
          <w:szCs w:val="24"/>
        </w:rPr>
        <w:t>Indian status</w:t>
      </w:r>
      <w:r w:rsidR="00AD43C5" w:rsidRPr="00DB384A">
        <w:rPr>
          <w:rFonts w:ascii="Times New Roman" w:hAnsi="Times New Roman" w:cs="Times New Roman"/>
          <w:i/>
          <w:sz w:val="24"/>
          <w:szCs w:val="24"/>
        </w:rPr>
        <w:t xml:space="preserve"> </w:t>
      </w:r>
      <w:r w:rsidR="002E4842" w:rsidRPr="00DB384A">
        <w:rPr>
          <w:rFonts w:ascii="Times New Roman" w:hAnsi="Times New Roman" w:cs="Times New Roman"/>
          <w:sz w:val="24"/>
          <w:szCs w:val="24"/>
        </w:rPr>
        <w:t xml:space="preserve">have </w:t>
      </w:r>
      <w:r w:rsidR="00AD43C5" w:rsidRPr="00DB384A">
        <w:rPr>
          <w:rFonts w:ascii="Times New Roman" w:hAnsi="Times New Roman" w:cs="Times New Roman"/>
          <w:sz w:val="24"/>
          <w:szCs w:val="24"/>
        </w:rPr>
        <w:t>discriminated against Indigenous women.</w:t>
      </w:r>
      <w:r w:rsidR="00EE26E4" w:rsidRPr="00DB384A">
        <w:rPr>
          <w:rStyle w:val="FootnoteReference"/>
          <w:rFonts w:ascii="Times New Roman" w:hAnsi="Times New Roman" w:cs="Times New Roman"/>
          <w:sz w:val="24"/>
          <w:szCs w:val="24"/>
        </w:rPr>
        <w:footnoteReference w:id="8"/>
      </w:r>
      <w:r w:rsidRPr="00DB384A">
        <w:rPr>
          <w:rFonts w:ascii="Times New Roman" w:hAnsi="Times New Roman" w:cs="Times New Roman"/>
          <w:sz w:val="24"/>
          <w:szCs w:val="24"/>
        </w:rPr>
        <w:t xml:space="preserve"> </w:t>
      </w:r>
      <w:r w:rsidR="0058576E" w:rsidRPr="00DB384A">
        <w:rPr>
          <w:rFonts w:ascii="Times New Roman" w:hAnsi="Times New Roman" w:cs="Times New Roman"/>
          <w:sz w:val="24"/>
          <w:szCs w:val="24"/>
        </w:rPr>
        <w:t>S</w:t>
      </w:r>
      <w:r w:rsidRPr="00DB384A">
        <w:rPr>
          <w:rFonts w:ascii="Times New Roman" w:hAnsi="Times New Roman" w:cs="Times New Roman"/>
          <w:sz w:val="24"/>
          <w:szCs w:val="24"/>
        </w:rPr>
        <w:t>tarting in 1869</w:t>
      </w:r>
      <w:r w:rsidR="002E4842" w:rsidRPr="00DB384A">
        <w:rPr>
          <w:rFonts w:ascii="Times New Roman" w:hAnsi="Times New Roman" w:cs="Times New Roman"/>
          <w:sz w:val="24"/>
          <w:szCs w:val="24"/>
        </w:rPr>
        <w:t>,</w:t>
      </w:r>
      <w:r w:rsidRPr="00DB384A">
        <w:rPr>
          <w:rFonts w:ascii="Times New Roman" w:hAnsi="Times New Roman" w:cs="Times New Roman"/>
          <w:sz w:val="24"/>
          <w:szCs w:val="24"/>
        </w:rPr>
        <w:t xml:space="preserve"> </w:t>
      </w:r>
      <w:r w:rsidR="00B01403" w:rsidRPr="00DB384A">
        <w:rPr>
          <w:rFonts w:ascii="Times New Roman" w:hAnsi="Times New Roman" w:cs="Times New Roman"/>
          <w:sz w:val="24"/>
          <w:szCs w:val="24"/>
        </w:rPr>
        <w:t xml:space="preserve">Registered </w:t>
      </w:r>
      <w:r w:rsidR="00BC78F4" w:rsidRPr="00DB384A">
        <w:rPr>
          <w:rFonts w:ascii="Times New Roman" w:hAnsi="Times New Roman" w:cs="Times New Roman"/>
          <w:sz w:val="24"/>
          <w:szCs w:val="24"/>
        </w:rPr>
        <w:t>Indian wome</w:t>
      </w:r>
      <w:r w:rsidRPr="00DB384A">
        <w:rPr>
          <w:rFonts w:ascii="Times New Roman" w:hAnsi="Times New Roman" w:cs="Times New Roman"/>
          <w:sz w:val="24"/>
          <w:szCs w:val="24"/>
        </w:rPr>
        <w:t xml:space="preserve">n </w:t>
      </w:r>
      <w:r w:rsidR="00BC78F4" w:rsidRPr="00DB384A">
        <w:rPr>
          <w:rFonts w:ascii="Times New Roman" w:hAnsi="Times New Roman" w:cs="Times New Roman"/>
          <w:sz w:val="24"/>
          <w:szCs w:val="24"/>
        </w:rPr>
        <w:t xml:space="preserve">who married non-Indian men </w:t>
      </w:r>
      <w:r w:rsidR="009B3550" w:rsidRPr="00DB384A">
        <w:rPr>
          <w:rFonts w:ascii="Times New Roman" w:hAnsi="Times New Roman" w:cs="Times New Roman"/>
          <w:sz w:val="24"/>
          <w:szCs w:val="24"/>
        </w:rPr>
        <w:t>lost</w:t>
      </w:r>
      <w:r w:rsidR="00BC78F4" w:rsidRPr="00DB384A">
        <w:rPr>
          <w:rFonts w:ascii="Times New Roman" w:hAnsi="Times New Roman" w:cs="Times New Roman"/>
          <w:sz w:val="24"/>
          <w:szCs w:val="24"/>
        </w:rPr>
        <w:t xml:space="preserve"> their</w:t>
      </w:r>
      <w:r w:rsidR="00AB38D5" w:rsidRPr="00DB384A">
        <w:rPr>
          <w:rFonts w:ascii="Times New Roman" w:hAnsi="Times New Roman" w:cs="Times New Roman"/>
          <w:sz w:val="24"/>
          <w:szCs w:val="24"/>
        </w:rPr>
        <w:t xml:space="preserve"> status</w:t>
      </w:r>
      <w:r w:rsidR="00B01403" w:rsidRPr="00DB384A">
        <w:rPr>
          <w:rFonts w:ascii="Times New Roman" w:hAnsi="Times New Roman" w:cs="Times New Roman"/>
          <w:sz w:val="24"/>
          <w:szCs w:val="24"/>
        </w:rPr>
        <w:t>.</w:t>
      </w:r>
      <w:r w:rsidR="008907C1" w:rsidRPr="00DB384A">
        <w:rPr>
          <w:rStyle w:val="FootnoteReference"/>
          <w:rFonts w:ascii="Times New Roman" w:hAnsi="Times New Roman" w:cs="Times New Roman"/>
          <w:sz w:val="24"/>
          <w:szCs w:val="24"/>
        </w:rPr>
        <w:footnoteReference w:id="9"/>
      </w:r>
      <w:r w:rsidR="00B01403" w:rsidRPr="00DB384A">
        <w:rPr>
          <w:rFonts w:ascii="Times New Roman" w:hAnsi="Times New Roman" w:cs="Times New Roman"/>
          <w:sz w:val="24"/>
          <w:szCs w:val="24"/>
        </w:rPr>
        <w:t xml:space="preserve"> </w:t>
      </w:r>
      <w:r w:rsidR="00CD2377" w:rsidRPr="00DB384A">
        <w:rPr>
          <w:rFonts w:ascii="Times New Roman" w:hAnsi="Times New Roman" w:cs="Times New Roman"/>
          <w:sz w:val="24"/>
          <w:szCs w:val="24"/>
        </w:rPr>
        <w:t>These women</w:t>
      </w:r>
      <w:r w:rsidR="001A3D7E" w:rsidRPr="00DB384A">
        <w:rPr>
          <w:rFonts w:ascii="Times New Roman" w:hAnsi="Times New Roman" w:cs="Times New Roman"/>
          <w:sz w:val="24"/>
          <w:szCs w:val="24"/>
        </w:rPr>
        <w:t xml:space="preserve"> </w:t>
      </w:r>
      <w:proofErr w:type="gramStart"/>
      <w:r w:rsidR="0039506B">
        <w:rPr>
          <w:rFonts w:ascii="Times New Roman" w:hAnsi="Times New Roman" w:cs="Times New Roman"/>
          <w:sz w:val="24"/>
          <w:szCs w:val="24"/>
        </w:rPr>
        <w:t>were</w:t>
      </w:r>
      <w:r w:rsidR="00240FBD">
        <w:rPr>
          <w:rFonts w:ascii="Times New Roman" w:hAnsi="Times New Roman" w:cs="Times New Roman"/>
          <w:sz w:val="24"/>
          <w:szCs w:val="24"/>
        </w:rPr>
        <w:t xml:space="preserve"> </w:t>
      </w:r>
      <w:r w:rsidR="001A3D7E" w:rsidRPr="00DB384A">
        <w:rPr>
          <w:rFonts w:ascii="Times New Roman" w:hAnsi="Times New Roman" w:cs="Times New Roman"/>
          <w:sz w:val="24"/>
          <w:szCs w:val="24"/>
        </w:rPr>
        <w:t>permanently</w:t>
      </w:r>
      <w:r w:rsidR="00CD2377" w:rsidRPr="00DB384A">
        <w:rPr>
          <w:rFonts w:ascii="Times New Roman" w:hAnsi="Times New Roman" w:cs="Times New Roman"/>
          <w:sz w:val="24"/>
          <w:szCs w:val="24"/>
        </w:rPr>
        <w:t xml:space="preserve"> </w:t>
      </w:r>
      <w:r w:rsidR="0039506B">
        <w:rPr>
          <w:rFonts w:ascii="Times New Roman" w:hAnsi="Times New Roman" w:cs="Times New Roman"/>
          <w:sz w:val="24"/>
          <w:szCs w:val="24"/>
        </w:rPr>
        <w:t>stripped</w:t>
      </w:r>
      <w:proofErr w:type="gramEnd"/>
      <w:r w:rsidR="0039506B">
        <w:rPr>
          <w:rFonts w:ascii="Times New Roman" w:hAnsi="Times New Roman" w:cs="Times New Roman"/>
          <w:sz w:val="24"/>
          <w:szCs w:val="24"/>
        </w:rPr>
        <w:t xml:space="preserve"> of</w:t>
      </w:r>
      <w:r w:rsidR="00CD2377" w:rsidRPr="00DB384A">
        <w:rPr>
          <w:rFonts w:ascii="Times New Roman" w:hAnsi="Times New Roman" w:cs="Times New Roman"/>
          <w:sz w:val="24"/>
          <w:szCs w:val="24"/>
        </w:rPr>
        <w:t xml:space="preserve"> </w:t>
      </w:r>
      <w:r w:rsidR="00DC48DA" w:rsidRPr="00DB384A">
        <w:rPr>
          <w:rFonts w:ascii="Times New Roman" w:hAnsi="Times New Roman" w:cs="Times New Roman"/>
          <w:sz w:val="24"/>
          <w:szCs w:val="24"/>
        </w:rPr>
        <w:t xml:space="preserve">their entitlement to </w:t>
      </w:r>
      <w:r w:rsidR="00CD2377" w:rsidRPr="00DB384A">
        <w:rPr>
          <w:rFonts w:ascii="Times New Roman" w:hAnsi="Times New Roman" w:cs="Times New Roman"/>
          <w:i/>
          <w:sz w:val="24"/>
          <w:szCs w:val="24"/>
        </w:rPr>
        <w:t xml:space="preserve">all </w:t>
      </w:r>
      <w:r w:rsidR="00C26942">
        <w:rPr>
          <w:rFonts w:ascii="Times New Roman" w:hAnsi="Times New Roman" w:cs="Times New Roman"/>
          <w:sz w:val="24"/>
          <w:szCs w:val="24"/>
        </w:rPr>
        <w:t>benefits of status</w:t>
      </w:r>
      <w:r w:rsidR="00CD2377" w:rsidRPr="00DB384A">
        <w:rPr>
          <w:rFonts w:ascii="Times New Roman" w:hAnsi="Times New Roman" w:cs="Times New Roman"/>
          <w:sz w:val="24"/>
          <w:szCs w:val="24"/>
        </w:rPr>
        <w:t>, including the</w:t>
      </w:r>
      <w:r w:rsidR="00BC78F4" w:rsidRPr="00DB384A">
        <w:rPr>
          <w:rFonts w:ascii="Times New Roman" w:hAnsi="Times New Roman" w:cs="Times New Roman"/>
          <w:sz w:val="24"/>
          <w:szCs w:val="24"/>
        </w:rPr>
        <w:t>ir</w:t>
      </w:r>
      <w:r w:rsidR="00CD2377" w:rsidRPr="00DB384A">
        <w:rPr>
          <w:rFonts w:ascii="Times New Roman" w:hAnsi="Times New Roman" w:cs="Times New Roman"/>
          <w:sz w:val="24"/>
          <w:szCs w:val="24"/>
        </w:rPr>
        <w:t xml:space="preserve"> </w:t>
      </w:r>
      <w:r w:rsidR="009B3550" w:rsidRPr="00DB384A">
        <w:rPr>
          <w:rFonts w:ascii="Times New Roman" w:hAnsi="Times New Roman" w:cs="Times New Roman"/>
          <w:sz w:val="24"/>
          <w:szCs w:val="24"/>
        </w:rPr>
        <w:t xml:space="preserve">membership in their band and their </w:t>
      </w:r>
      <w:r w:rsidR="00CD2377" w:rsidRPr="00DB384A">
        <w:rPr>
          <w:rFonts w:ascii="Times New Roman" w:hAnsi="Times New Roman" w:cs="Times New Roman"/>
          <w:sz w:val="24"/>
          <w:szCs w:val="24"/>
        </w:rPr>
        <w:t>right to live on reserve</w:t>
      </w:r>
      <w:r w:rsidR="00BC78F4" w:rsidRPr="00DB384A">
        <w:rPr>
          <w:rFonts w:ascii="Times New Roman" w:hAnsi="Times New Roman" w:cs="Times New Roman"/>
          <w:sz w:val="24"/>
          <w:szCs w:val="24"/>
        </w:rPr>
        <w:t xml:space="preserve">, </w:t>
      </w:r>
      <w:r w:rsidR="009F20DD" w:rsidRPr="00DB384A">
        <w:rPr>
          <w:rFonts w:ascii="Times New Roman" w:hAnsi="Times New Roman" w:cs="Times New Roman"/>
          <w:sz w:val="24"/>
          <w:szCs w:val="24"/>
        </w:rPr>
        <w:t>even if they</w:t>
      </w:r>
      <w:r w:rsidR="00BC78F4" w:rsidRPr="00DB384A">
        <w:rPr>
          <w:rFonts w:ascii="Times New Roman" w:hAnsi="Times New Roman" w:cs="Times New Roman"/>
          <w:sz w:val="24"/>
          <w:szCs w:val="24"/>
        </w:rPr>
        <w:t xml:space="preserve"> were</w:t>
      </w:r>
      <w:r w:rsidR="009F20DD" w:rsidRPr="00DB384A">
        <w:rPr>
          <w:rFonts w:ascii="Times New Roman" w:hAnsi="Times New Roman" w:cs="Times New Roman"/>
          <w:sz w:val="24"/>
          <w:szCs w:val="24"/>
        </w:rPr>
        <w:t xml:space="preserve"> later</w:t>
      </w:r>
      <w:r w:rsidR="00BC78F4" w:rsidRPr="00DB384A">
        <w:rPr>
          <w:rFonts w:ascii="Times New Roman" w:hAnsi="Times New Roman" w:cs="Times New Roman"/>
          <w:sz w:val="24"/>
          <w:szCs w:val="24"/>
        </w:rPr>
        <w:t xml:space="preserve"> widowed or </w:t>
      </w:r>
      <w:r w:rsidR="00BC78F4" w:rsidRPr="00DB384A">
        <w:rPr>
          <w:rFonts w:ascii="Times New Roman" w:hAnsi="Times New Roman" w:cs="Times New Roman"/>
          <w:sz w:val="24"/>
          <w:szCs w:val="24"/>
        </w:rPr>
        <w:lastRenderedPageBreak/>
        <w:t>divorced</w:t>
      </w:r>
      <w:r w:rsidR="00AB38D5" w:rsidRPr="00DB384A">
        <w:rPr>
          <w:rFonts w:ascii="Times New Roman" w:hAnsi="Times New Roman" w:cs="Times New Roman"/>
          <w:sz w:val="24"/>
          <w:szCs w:val="24"/>
        </w:rPr>
        <w:t>, and their children were ineligible for status</w:t>
      </w:r>
      <w:r w:rsidR="00CD2377" w:rsidRPr="00DB384A">
        <w:rPr>
          <w:rFonts w:ascii="Times New Roman" w:hAnsi="Times New Roman" w:cs="Times New Roman"/>
          <w:sz w:val="24"/>
          <w:szCs w:val="24"/>
        </w:rPr>
        <w:t xml:space="preserve">. </w:t>
      </w:r>
      <w:r w:rsidRPr="00DB384A">
        <w:rPr>
          <w:rFonts w:ascii="Times New Roman" w:hAnsi="Times New Roman" w:cs="Times New Roman"/>
          <w:sz w:val="24"/>
          <w:szCs w:val="24"/>
        </w:rPr>
        <w:t>In contrast,</w:t>
      </w:r>
      <w:r w:rsidR="00B6284D" w:rsidRPr="00DB384A">
        <w:rPr>
          <w:rFonts w:ascii="Times New Roman" w:hAnsi="Times New Roman" w:cs="Times New Roman"/>
          <w:sz w:val="24"/>
          <w:szCs w:val="24"/>
        </w:rPr>
        <w:t xml:space="preserve"> starting in 1876</w:t>
      </w:r>
      <w:r w:rsidR="00CD2377" w:rsidRPr="00DB384A">
        <w:rPr>
          <w:rFonts w:ascii="Times New Roman" w:hAnsi="Times New Roman" w:cs="Times New Roman"/>
          <w:sz w:val="24"/>
          <w:szCs w:val="24"/>
        </w:rPr>
        <w:t>,</w:t>
      </w:r>
      <w:r w:rsidR="00B6284D" w:rsidRPr="00DB384A">
        <w:rPr>
          <w:rStyle w:val="FootnoteReference"/>
          <w:rFonts w:ascii="Times New Roman" w:hAnsi="Times New Roman" w:cs="Times New Roman"/>
          <w:sz w:val="24"/>
          <w:szCs w:val="24"/>
        </w:rPr>
        <w:footnoteReference w:id="10"/>
      </w:r>
      <w:r w:rsidR="0076341D" w:rsidRPr="00DB384A">
        <w:rPr>
          <w:rFonts w:ascii="Times New Roman" w:hAnsi="Times New Roman" w:cs="Times New Roman"/>
          <w:sz w:val="24"/>
          <w:szCs w:val="24"/>
        </w:rPr>
        <w:t xml:space="preserve"> </w:t>
      </w:r>
      <w:r w:rsidRPr="00DB384A">
        <w:rPr>
          <w:rFonts w:ascii="Times New Roman" w:hAnsi="Times New Roman" w:cs="Times New Roman"/>
          <w:sz w:val="24"/>
          <w:szCs w:val="24"/>
        </w:rPr>
        <w:t xml:space="preserve">Indian men who married non-Indian women not only preserved their Indian </w:t>
      </w:r>
      <w:r w:rsidR="001921B8" w:rsidRPr="00DB384A">
        <w:rPr>
          <w:rFonts w:ascii="Times New Roman" w:hAnsi="Times New Roman" w:cs="Times New Roman"/>
          <w:sz w:val="24"/>
          <w:szCs w:val="24"/>
        </w:rPr>
        <w:t xml:space="preserve">status, </w:t>
      </w:r>
      <w:proofErr w:type="gramStart"/>
      <w:r w:rsidR="001921B8" w:rsidRPr="00DB384A">
        <w:rPr>
          <w:rFonts w:ascii="Times New Roman" w:hAnsi="Times New Roman" w:cs="Times New Roman"/>
          <w:sz w:val="24"/>
          <w:szCs w:val="24"/>
        </w:rPr>
        <w:t>but</w:t>
      </w:r>
      <w:proofErr w:type="gramEnd"/>
      <w:r w:rsidR="001921B8" w:rsidRPr="00DB384A">
        <w:rPr>
          <w:rFonts w:ascii="Times New Roman" w:hAnsi="Times New Roman" w:cs="Times New Roman"/>
          <w:sz w:val="24"/>
          <w:szCs w:val="24"/>
        </w:rPr>
        <w:t xml:space="preserve"> were able to </w:t>
      </w:r>
      <w:r w:rsidR="0039506B">
        <w:rPr>
          <w:rFonts w:ascii="Times New Roman" w:hAnsi="Times New Roman" w:cs="Times New Roman"/>
          <w:sz w:val="24"/>
          <w:szCs w:val="24"/>
        </w:rPr>
        <w:t>confer</w:t>
      </w:r>
      <w:r w:rsidR="0039506B" w:rsidRPr="00DB384A">
        <w:rPr>
          <w:rFonts w:ascii="Times New Roman" w:hAnsi="Times New Roman" w:cs="Times New Roman"/>
          <w:sz w:val="24"/>
          <w:szCs w:val="24"/>
        </w:rPr>
        <w:t xml:space="preserve"> </w:t>
      </w:r>
      <w:r w:rsidR="001921B8" w:rsidRPr="00DB384A">
        <w:rPr>
          <w:rFonts w:ascii="Times New Roman" w:hAnsi="Times New Roman" w:cs="Times New Roman"/>
          <w:sz w:val="24"/>
          <w:szCs w:val="24"/>
        </w:rPr>
        <w:t>that status</w:t>
      </w:r>
      <w:r w:rsidRPr="00DB384A">
        <w:rPr>
          <w:rFonts w:ascii="Times New Roman" w:hAnsi="Times New Roman" w:cs="Times New Roman"/>
          <w:sz w:val="24"/>
          <w:szCs w:val="24"/>
        </w:rPr>
        <w:t xml:space="preserve"> on </w:t>
      </w:r>
      <w:r w:rsidR="0039506B" w:rsidRPr="00DB384A">
        <w:rPr>
          <w:rFonts w:ascii="Times New Roman" w:hAnsi="Times New Roman" w:cs="Times New Roman"/>
          <w:sz w:val="24"/>
          <w:szCs w:val="24"/>
        </w:rPr>
        <w:t>t</w:t>
      </w:r>
      <w:r w:rsidR="0039506B">
        <w:rPr>
          <w:rFonts w:ascii="Times New Roman" w:hAnsi="Times New Roman" w:cs="Times New Roman"/>
          <w:sz w:val="24"/>
          <w:szCs w:val="24"/>
        </w:rPr>
        <w:t>he</w:t>
      </w:r>
      <w:r w:rsidR="0039506B" w:rsidRPr="00DB384A">
        <w:rPr>
          <w:rFonts w:ascii="Times New Roman" w:hAnsi="Times New Roman" w:cs="Times New Roman"/>
          <w:sz w:val="24"/>
          <w:szCs w:val="24"/>
        </w:rPr>
        <w:t xml:space="preserve"> </w:t>
      </w:r>
      <w:r w:rsidR="0058576E" w:rsidRPr="00DB384A">
        <w:rPr>
          <w:rFonts w:ascii="Times New Roman" w:hAnsi="Times New Roman" w:cs="Times New Roman"/>
          <w:sz w:val="24"/>
          <w:szCs w:val="24"/>
        </w:rPr>
        <w:t xml:space="preserve">women </w:t>
      </w:r>
      <w:r w:rsidRPr="00DB384A">
        <w:rPr>
          <w:rFonts w:ascii="Times New Roman" w:hAnsi="Times New Roman" w:cs="Times New Roman"/>
          <w:sz w:val="24"/>
          <w:szCs w:val="24"/>
        </w:rPr>
        <w:t>they married</w:t>
      </w:r>
      <w:r w:rsidR="00CD2377" w:rsidRPr="00DB384A">
        <w:rPr>
          <w:rFonts w:ascii="Times New Roman" w:hAnsi="Times New Roman" w:cs="Times New Roman"/>
          <w:sz w:val="24"/>
          <w:szCs w:val="24"/>
        </w:rPr>
        <w:t xml:space="preserve">, and </w:t>
      </w:r>
      <w:r w:rsidR="0039506B">
        <w:rPr>
          <w:rFonts w:ascii="Times New Roman" w:hAnsi="Times New Roman" w:cs="Times New Roman"/>
          <w:sz w:val="24"/>
          <w:szCs w:val="24"/>
        </w:rPr>
        <w:t>pass it on</w:t>
      </w:r>
      <w:r w:rsidR="00CD2377" w:rsidRPr="00DB384A">
        <w:rPr>
          <w:rFonts w:ascii="Times New Roman" w:hAnsi="Times New Roman" w:cs="Times New Roman"/>
          <w:sz w:val="24"/>
          <w:szCs w:val="24"/>
        </w:rPr>
        <w:t xml:space="preserve"> to their</w:t>
      </w:r>
      <w:r w:rsidR="00B6284D" w:rsidRPr="00DB384A">
        <w:rPr>
          <w:rFonts w:ascii="Times New Roman" w:hAnsi="Times New Roman" w:cs="Times New Roman"/>
          <w:sz w:val="24"/>
          <w:szCs w:val="24"/>
        </w:rPr>
        <w:t xml:space="preserve"> children</w:t>
      </w:r>
      <w:r w:rsidRPr="00DB384A">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11"/>
      </w:r>
      <w:r w:rsidR="00AB38D5" w:rsidRPr="00DB384A">
        <w:rPr>
          <w:rFonts w:ascii="Times New Roman" w:hAnsi="Times New Roman" w:cs="Times New Roman"/>
          <w:sz w:val="24"/>
          <w:szCs w:val="24"/>
        </w:rPr>
        <w:t xml:space="preserve">  </w:t>
      </w:r>
    </w:p>
    <w:p w:rsidR="00B6284D" w:rsidRPr="00DB384A" w:rsidRDefault="0076341D"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Early versions of the </w:t>
      </w:r>
      <w:r w:rsidRPr="00DB384A">
        <w:rPr>
          <w:rFonts w:ascii="Times New Roman" w:hAnsi="Times New Roman" w:cs="Times New Roman"/>
          <w:i/>
          <w:sz w:val="24"/>
          <w:szCs w:val="24"/>
        </w:rPr>
        <w:t>Indian Act</w:t>
      </w:r>
      <w:r w:rsidRPr="00DB384A">
        <w:rPr>
          <w:rFonts w:ascii="Times New Roman" w:hAnsi="Times New Roman" w:cs="Times New Roman"/>
          <w:sz w:val="24"/>
          <w:szCs w:val="24"/>
        </w:rPr>
        <w:t xml:space="preserve"> </w:t>
      </w:r>
      <w:r w:rsidR="0069161E" w:rsidRPr="00DB384A">
        <w:rPr>
          <w:rFonts w:ascii="Times New Roman" w:hAnsi="Times New Roman" w:cs="Times New Roman"/>
          <w:sz w:val="24"/>
          <w:szCs w:val="24"/>
        </w:rPr>
        <w:t xml:space="preserve">also </w:t>
      </w:r>
      <w:r w:rsidR="00CD2377" w:rsidRPr="00DB384A">
        <w:rPr>
          <w:rFonts w:ascii="Times New Roman" w:hAnsi="Times New Roman" w:cs="Times New Roman"/>
          <w:sz w:val="24"/>
          <w:szCs w:val="24"/>
        </w:rPr>
        <w:t>singled out “illegitimate children”</w:t>
      </w:r>
      <w:r w:rsidR="00436091" w:rsidRPr="00DB384A">
        <w:rPr>
          <w:rFonts w:ascii="Times New Roman" w:hAnsi="Times New Roman" w:cs="Times New Roman"/>
          <w:sz w:val="24"/>
          <w:szCs w:val="24"/>
        </w:rPr>
        <w:t xml:space="preserve"> for differen</w:t>
      </w:r>
      <w:r w:rsidR="00112D64" w:rsidRPr="00DB384A">
        <w:rPr>
          <w:rFonts w:ascii="Times New Roman" w:hAnsi="Times New Roman" w:cs="Times New Roman"/>
          <w:sz w:val="24"/>
          <w:szCs w:val="24"/>
        </w:rPr>
        <w:t>tial treatment.</w:t>
      </w:r>
      <w:r w:rsidR="00436091" w:rsidRPr="00DB384A">
        <w:rPr>
          <w:rFonts w:ascii="Times New Roman" w:hAnsi="Times New Roman" w:cs="Times New Roman"/>
          <w:sz w:val="24"/>
          <w:szCs w:val="24"/>
        </w:rPr>
        <w:t xml:space="preserve"> Under</w:t>
      </w:r>
      <w:r w:rsidR="00CD2377" w:rsidRPr="00DB384A">
        <w:rPr>
          <w:rFonts w:ascii="Times New Roman" w:hAnsi="Times New Roman" w:cs="Times New Roman"/>
          <w:sz w:val="24"/>
          <w:szCs w:val="24"/>
        </w:rPr>
        <w:t xml:space="preserve"> </w:t>
      </w:r>
      <w:r w:rsidR="001921B8" w:rsidRPr="00DB384A">
        <w:rPr>
          <w:rFonts w:ascii="Times New Roman" w:hAnsi="Times New Roman" w:cs="Times New Roman"/>
          <w:sz w:val="24"/>
          <w:szCs w:val="24"/>
        </w:rPr>
        <w:t>the 1876</w:t>
      </w:r>
      <w:r w:rsidR="00B76781" w:rsidRPr="00DB384A">
        <w:rPr>
          <w:rFonts w:ascii="Times New Roman" w:hAnsi="Times New Roman" w:cs="Times New Roman"/>
          <w:sz w:val="24"/>
          <w:szCs w:val="24"/>
        </w:rPr>
        <w:t xml:space="preserve"> </w:t>
      </w:r>
      <w:r w:rsidR="00B76781" w:rsidRPr="00DB384A">
        <w:rPr>
          <w:rFonts w:ascii="Times New Roman" w:hAnsi="Times New Roman" w:cs="Times New Roman"/>
          <w:i/>
          <w:sz w:val="24"/>
          <w:szCs w:val="24"/>
        </w:rPr>
        <w:t>Indian</w:t>
      </w:r>
      <w:r w:rsidR="001921B8" w:rsidRPr="00DB384A">
        <w:rPr>
          <w:rFonts w:ascii="Times New Roman" w:hAnsi="Times New Roman" w:cs="Times New Roman"/>
          <w:i/>
          <w:sz w:val="24"/>
          <w:szCs w:val="24"/>
        </w:rPr>
        <w:t xml:space="preserve"> Act</w:t>
      </w:r>
      <w:r w:rsidR="006C6CA1" w:rsidRPr="00DB384A">
        <w:rPr>
          <w:rFonts w:ascii="Times New Roman" w:hAnsi="Times New Roman" w:cs="Times New Roman"/>
          <w:sz w:val="24"/>
          <w:szCs w:val="24"/>
        </w:rPr>
        <w:t>,</w:t>
      </w:r>
      <w:r w:rsidR="00CD2377" w:rsidRPr="00DB384A">
        <w:rPr>
          <w:rFonts w:ascii="Times New Roman" w:hAnsi="Times New Roman" w:cs="Times New Roman"/>
          <w:sz w:val="24"/>
          <w:szCs w:val="24"/>
        </w:rPr>
        <w:t xml:space="preserve"> </w:t>
      </w:r>
      <w:r w:rsidR="003D589B" w:rsidRPr="00DB384A">
        <w:rPr>
          <w:rFonts w:ascii="Times New Roman" w:hAnsi="Times New Roman" w:cs="Times New Roman"/>
          <w:sz w:val="24"/>
          <w:szCs w:val="24"/>
        </w:rPr>
        <w:t>at the request of their band and with the approval of the Superintenden</w:t>
      </w:r>
      <w:r w:rsidR="00C86ED4">
        <w:rPr>
          <w:rFonts w:ascii="Times New Roman" w:hAnsi="Times New Roman" w:cs="Times New Roman"/>
          <w:sz w:val="24"/>
          <w:szCs w:val="24"/>
        </w:rPr>
        <w:t xml:space="preserve">t General, </w:t>
      </w:r>
      <w:r w:rsidRPr="00DB384A">
        <w:rPr>
          <w:rFonts w:ascii="Times New Roman" w:hAnsi="Times New Roman" w:cs="Times New Roman"/>
          <w:sz w:val="24"/>
          <w:szCs w:val="24"/>
        </w:rPr>
        <w:t>children</w:t>
      </w:r>
      <w:r w:rsidR="006C6CA1" w:rsidRPr="00DB384A">
        <w:rPr>
          <w:rFonts w:ascii="Times New Roman" w:hAnsi="Times New Roman" w:cs="Times New Roman"/>
          <w:sz w:val="24"/>
          <w:szCs w:val="24"/>
        </w:rPr>
        <w:t xml:space="preserve"> born outside of marriage</w:t>
      </w:r>
      <w:r w:rsidRPr="00DB384A">
        <w:rPr>
          <w:rFonts w:ascii="Times New Roman" w:hAnsi="Times New Roman" w:cs="Times New Roman"/>
          <w:sz w:val="24"/>
          <w:szCs w:val="24"/>
        </w:rPr>
        <w:t xml:space="preserve"> </w:t>
      </w:r>
      <w:proofErr w:type="gramStart"/>
      <w:r w:rsidRPr="00DB384A">
        <w:rPr>
          <w:rFonts w:ascii="Times New Roman" w:hAnsi="Times New Roman" w:cs="Times New Roman"/>
          <w:sz w:val="24"/>
          <w:szCs w:val="24"/>
        </w:rPr>
        <w:t>could be excluded</w:t>
      </w:r>
      <w:proofErr w:type="gramEnd"/>
      <w:r w:rsidRPr="00DB384A">
        <w:rPr>
          <w:rFonts w:ascii="Times New Roman" w:hAnsi="Times New Roman" w:cs="Times New Roman"/>
          <w:sz w:val="24"/>
          <w:szCs w:val="24"/>
        </w:rPr>
        <w:t xml:space="preserve"> from status</w:t>
      </w:r>
      <w:r w:rsidR="001921B8" w:rsidRPr="00DB384A">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12"/>
      </w:r>
      <w:r w:rsidR="00112D64" w:rsidRPr="00DB384A">
        <w:rPr>
          <w:rFonts w:ascii="Times New Roman" w:hAnsi="Times New Roman" w:cs="Times New Roman"/>
          <w:sz w:val="24"/>
          <w:szCs w:val="24"/>
        </w:rPr>
        <w:t xml:space="preserve"> </w:t>
      </w:r>
      <w:r w:rsidR="008907C1" w:rsidRPr="00DB384A">
        <w:rPr>
          <w:rFonts w:ascii="Times New Roman" w:hAnsi="Times New Roman" w:cs="Times New Roman"/>
          <w:sz w:val="24"/>
          <w:szCs w:val="24"/>
        </w:rPr>
        <w:t>After 1880, the</w:t>
      </w:r>
      <w:r w:rsidRPr="00DB384A">
        <w:rPr>
          <w:rFonts w:ascii="Times New Roman" w:hAnsi="Times New Roman" w:cs="Times New Roman"/>
          <w:sz w:val="24"/>
          <w:szCs w:val="24"/>
        </w:rPr>
        <w:t xml:space="preserve"> Superintendent General</w:t>
      </w:r>
      <w:r w:rsidR="003D589B" w:rsidRPr="00DB384A">
        <w:rPr>
          <w:rFonts w:ascii="Times New Roman" w:hAnsi="Times New Roman" w:cs="Times New Roman"/>
          <w:sz w:val="24"/>
          <w:szCs w:val="24"/>
        </w:rPr>
        <w:t xml:space="preserve"> had the power to exclude these children directly</w:t>
      </w:r>
      <w:r w:rsidRPr="00DB384A">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13"/>
      </w:r>
      <w:r w:rsidR="00112D64" w:rsidRPr="00DB384A">
        <w:rPr>
          <w:rFonts w:ascii="Times New Roman" w:hAnsi="Times New Roman" w:cs="Times New Roman"/>
          <w:sz w:val="24"/>
          <w:szCs w:val="24"/>
        </w:rPr>
        <w:t xml:space="preserve"> </w:t>
      </w:r>
      <w:r w:rsidR="00CA384A" w:rsidRPr="00DB384A">
        <w:rPr>
          <w:rFonts w:ascii="Times New Roman" w:hAnsi="Times New Roman" w:cs="Times New Roman"/>
          <w:sz w:val="24"/>
          <w:szCs w:val="24"/>
        </w:rPr>
        <w:t>U</w:t>
      </w:r>
      <w:r w:rsidR="001921B8" w:rsidRPr="00DB384A">
        <w:rPr>
          <w:rFonts w:ascii="Times New Roman" w:hAnsi="Times New Roman" w:cs="Times New Roman"/>
          <w:sz w:val="24"/>
          <w:szCs w:val="24"/>
        </w:rPr>
        <w:t>nder the</w:t>
      </w:r>
      <w:r w:rsidR="00186513" w:rsidRPr="00DB384A">
        <w:rPr>
          <w:rFonts w:ascii="Times New Roman" w:hAnsi="Times New Roman" w:cs="Times New Roman"/>
          <w:sz w:val="24"/>
          <w:szCs w:val="24"/>
        </w:rPr>
        <w:t xml:space="preserve"> 1951</w:t>
      </w:r>
      <w:r w:rsidR="001921B8" w:rsidRPr="00DB384A">
        <w:rPr>
          <w:rFonts w:ascii="Times New Roman" w:hAnsi="Times New Roman" w:cs="Times New Roman"/>
          <w:sz w:val="24"/>
          <w:szCs w:val="24"/>
        </w:rPr>
        <w:t xml:space="preserve"> </w:t>
      </w:r>
      <w:r w:rsidR="001921B8" w:rsidRPr="00DB384A">
        <w:rPr>
          <w:rFonts w:ascii="Times New Roman" w:hAnsi="Times New Roman" w:cs="Times New Roman"/>
          <w:i/>
          <w:sz w:val="24"/>
          <w:szCs w:val="24"/>
        </w:rPr>
        <w:t>Indian Act</w:t>
      </w:r>
      <w:r w:rsidR="00186513" w:rsidRPr="00DB384A">
        <w:rPr>
          <w:rFonts w:ascii="Times New Roman" w:hAnsi="Times New Roman" w:cs="Times New Roman"/>
          <w:sz w:val="24"/>
          <w:szCs w:val="24"/>
        </w:rPr>
        <w:t xml:space="preserve">, </w:t>
      </w:r>
      <w:r w:rsidR="002971BE" w:rsidRPr="00DB384A">
        <w:rPr>
          <w:rFonts w:ascii="Times New Roman" w:hAnsi="Times New Roman" w:cs="Times New Roman"/>
          <w:sz w:val="24"/>
          <w:szCs w:val="24"/>
        </w:rPr>
        <w:t xml:space="preserve">illegitimate male children of an Indian man </w:t>
      </w:r>
      <w:proofErr w:type="gramStart"/>
      <w:r w:rsidR="002971BE" w:rsidRPr="00DB384A">
        <w:rPr>
          <w:rFonts w:ascii="Times New Roman" w:hAnsi="Times New Roman" w:cs="Times New Roman"/>
          <w:sz w:val="24"/>
          <w:szCs w:val="24"/>
        </w:rPr>
        <w:t>could be registered</w:t>
      </w:r>
      <w:proofErr w:type="gramEnd"/>
      <w:r w:rsidR="002971BE" w:rsidRPr="00DB384A">
        <w:rPr>
          <w:rFonts w:ascii="Times New Roman" w:hAnsi="Times New Roman" w:cs="Times New Roman"/>
          <w:sz w:val="24"/>
          <w:szCs w:val="24"/>
        </w:rPr>
        <w:t xml:space="preserve">, but illegitimate female children could not. Illegitimate children of </w:t>
      </w:r>
      <w:r w:rsidR="0039506B">
        <w:rPr>
          <w:rFonts w:ascii="Times New Roman" w:hAnsi="Times New Roman" w:cs="Times New Roman"/>
          <w:sz w:val="24"/>
          <w:szCs w:val="24"/>
        </w:rPr>
        <w:t>either sex born to</w:t>
      </w:r>
      <w:r w:rsidR="002971BE" w:rsidRPr="00DB384A">
        <w:rPr>
          <w:rFonts w:ascii="Times New Roman" w:hAnsi="Times New Roman" w:cs="Times New Roman"/>
          <w:sz w:val="24"/>
          <w:szCs w:val="24"/>
        </w:rPr>
        <w:t xml:space="preserve"> India</w:t>
      </w:r>
      <w:r w:rsidR="00547283" w:rsidRPr="00DB384A">
        <w:rPr>
          <w:rFonts w:ascii="Times New Roman" w:hAnsi="Times New Roman" w:cs="Times New Roman"/>
          <w:sz w:val="24"/>
          <w:szCs w:val="24"/>
        </w:rPr>
        <w:t xml:space="preserve">n women </w:t>
      </w:r>
      <w:proofErr w:type="gramStart"/>
      <w:r w:rsidR="00547283" w:rsidRPr="00DB384A">
        <w:rPr>
          <w:rFonts w:ascii="Times New Roman" w:hAnsi="Times New Roman" w:cs="Times New Roman"/>
          <w:sz w:val="24"/>
          <w:szCs w:val="24"/>
        </w:rPr>
        <w:t>were entitled to be registered</w:t>
      </w:r>
      <w:proofErr w:type="gramEnd"/>
      <w:r w:rsidR="002971BE" w:rsidRPr="00DB384A">
        <w:rPr>
          <w:rFonts w:ascii="Times New Roman" w:hAnsi="Times New Roman" w:cs="Times New Roman"/>
          <w:sz w:val="24"/>
          <w:szCs w:val="24"/>
        </w:rPr>
        <w:t xml:space="preserve"> unless the Registrar </w:t>
      </w:r>
      <w:r w:rsidR="00047DE5">
        <w:rPr>
          <w:rFonts w:ascii="Times New Roman" w:hAnsi="Times New Roman" w:cs="Times New Roman"/>
          <w:sz w:val="24"/>
          <w:szCs w:val="24"/>
        </w:rPr>
        <w:t>concluded</w:t>
      </w:r>
      <w:r w:rsidR="002971BE" w:rsidRPr="00DB384A">
        <w:rPr>
          <w:rFonts w:ascii="Times New Roman" w:hAnsi="Times New Roman" w:cs="Times New Roman"/>
          <w:sz w:val="24"/>
          <w:szCs w:val="24"/>
        </w:rPr>
        <w:t xml:space="preserve"> their father was not</w:t>
      </w:r>
      <w:r w:rsidR="0058576E" w:rsidRPr="00DB384A">
        <w:rPr>
          <w:rFonts w:ascii="Times New Roman" w:hAnsi="Times New Roman" w:cs="Times New Roman"/>
          <w:sz w:val="24"/>
          <w:szCs w:val="24"/>
        </w:rPr>
        <w:t xml:space="preserve"> an</w:t>
      </w:r>
      <w:r w:rsidR="002971BE" w:rsidRPr="00DB384A">
        <w:rPr>
          <w:rFonts w:ascii="Times New Roman" w:hAnsi="Times New Roman" w:cs="Times New Roman"/>
          <w:sz w:val="24"/>
          <w:szCs w:val="24"/>
        </w:rPr>
        <w:t xml:space="preserve"> Indian.</w:t>
      </w:r>
      <w:r w:rsidR="008E6756" w:rsidRPr="00DB384A">
        <w:rPr>
          <w:rStyle w:val="FootnoteReference"/>
          <w:rFonts w:ascii="Times New Roman" w:hAnsi="Times New Roman" w:cs="Times New Roman"/>
          <w:sz w:val="24"/>
          <w:szCs w:val="24"/>
        </w:rPr>
        <w:footnoteReference w:id="14"/>
      </w:r>
      <w:r w:rsidR="00F176F6">
        <w:rPr>
          <w:rFonts w:ascii="Times New Roman" w:hAnsi="Times New Roman" w:cs="Times New Roman"/>
          <w:sz w:val="24"/>
          <w:szCs w:val="24"/>
        </w:rPr>
        <w:t xml:space="preserve"> Thus,</w:t>
      </w:r>
      <w:r w:rsidR="00AC61CB">
        <w:rPr>
          <w:rFonts w:ascii="Times New Roman" w:hAnsi="Times New Roman" w:cs="Times New Roman"/>
          <w:sz w:val="24"/>
          <w:szCs w:val="24"/>
        </w:rPr>
        <w:t xml:space="preserve"> from 1951 until amendments to the </w:t>
      </w:r>
      <w:r w:rsidR="00AC61CB">
        <w:rPr>
          <w:rFonts w:ascii="Times New Roman" w:hAnsi="Times New Roman" w:cs="Times New Roman"/>
          <w:i/>
          <w:sz w:val="24"/>
          <w:szCs w:val="24"/>
        </w:rPr>
        <w:t xml:space="preserve">Indian Act </w:t>
      </w:r>
      <w:r w:rsidR="00AC61CB">
        <w:rPr>
          <w:rFonts w:ascii="Times New Roman" w:hAnsi="Times New Roman" w:cs="Times New Roman"/>
          <w:sz w:val="24"/>
          <w:szCs w:val="24"/>
        </w:rPr>
        <w:t>in 1985,</w:t>
      </w:r>
      <w:r w:rsidR="00F176F6">
        <w:rPr>
          <w:rFonts w:ascii="Times New Roman" w:hAnsi="Times New Roman" w:cs="Times New Roman"/>
          <w:sz w:val="24"/>
          <w:szCs w:val="24"/>
        </w:rPr>
        <w:t xml:space="preserve"> </w:t>
      </w:r>
      <w:r w:rsidR="00AC61CB">
        <w:rPr>
          <w:rFonts w:ascii="Times New Roman" w:hAnsi="Times New Roman" w:cs="Times New Roman"/>
          <w:sz w:val="24"/>
          <w:szCs w:val="24"/>
        </w:rPr>
        <w:t xml:space="preserve">unmarried </w:t>
      </w:r>
      <w:r w:rsidR="00240FBD">
        <w:rPr>
          <w:rFonts w:ascii="Times New Roman" w:hAnsi="Times New Roman" w:cs="Times New Roman"/>
          <w:sz w:val="24"/>
          <w:szCs w:val="24"/>
        </w:rPr>
        <w:t>Registered Indian women were able to pass on</w:t>
      </w:r>
      <w:r w:rsidR="00540E63">
        <w:rPr>
          <w:rFonts w:ascii="Times New Roman" w:hAnsi="Times New Roman" w:cs="Times New Roman"/>
          <w:sz w:val="24"/>
          <w:szCs w:val="24"/>
        </w:rPr>
        <w:t xml:space="preserve"> </w:t>
      </w:r>
      <w:r w:rsidR="000E7211">
        <w:rPr>
          <w:rFonts w:ascii="Times New Roman" w:hAnsi="Times New Roman" w:cs="Times New Roman"/>
          <w:sz w:val="24"/>
          <w:szCs w:val="24"/>
        </w:rPr>
        <w:t>status to their children through</w:t>
      </w:r>
      <w:r w:rsidR="00F176F6">
        <w:rPr>
          <w:rFonts w:ascii="Times New Roman" w:hAnsi="Times New Roman" w:cs="Times New Roman"/>
          <w:sz w:val="24"/>
          <w:szCs w:val="24"/>
        </w:rPr>
        <w:t xml:space="preserve"> </w:t>
      </w:r>
      <w:r w:rsidR="0070237B">
        <w:rPr>
          <w:rFonts w:ascii="Times New Roman" w:hAnsi="Times New Roman" w:cs="Times New Roman"/>
          <w:sz w:val="24"/>
          <w:szCs w:val="24"/>
        </w:rPr>
        <w:t xml:space="preserve">a </w:t>
      </w:r>
      <w:r w:rsidR="00F176F6">
        <w:rPr>
          <w:rFonts w:ascii="Times New Roman" w:hAnsi="Times New Roman" w:cs="Times New Roman"/>
          <w:sz w:val="24"/>
          <w:szCs w:val="24"/>
        </w:rPr>
        <w:t>presumption of</w:t>
      </w:r>
      <w:r w:rsidR="003C1916">
        <w:rPr>
          <w:rFonts w:ascii="Times New Roman" w:hAnsi="Times New Roman" w:cs="Times New Roman"/>
          <w:sz w:val="24"/>
          <w:szCs w:val="24"/>
        </w:rPr>
        <w:t xml:space="preserve"> Indian</w:t>
      </w:r>
      <w:r w:rsidR="00AC61CB">
        <w:rPr>
          <w:rFonts w:ascii="Times New Roman" w:hAnsi="Times New Roman" w:cs="Times New Roman"/>
          <w:sz w:val="24"/>
          <w:szCs w:val="24"/>
        </w:rPr>
        <w:t xml:space="preserve"> paternity.  </w:t>
      </w:r>
      <w:r w:rsidR="00F176F6">
        <w:rPr>
          <w:rFonts w:ascii="Times New Roman" w:hAnsi="Times New Roman" w:cs="Times New Roman"/>
          <w:sz w:val="24"/>
          <w:szCs w:val="24"/>
        </w:rPr>
        <w:t xml:space="preserve"> </w:t>
      </w:r>
    </w:p>
    <w:p w:rsidR="00FF4E51" w:rsidRPr="00DB384A" w:rsidRDefault="00686BFD" w:rsidP="009A4E07">
      <w:pPr>
        <w:pStyle w:val="Heading2"/>
        <w:spacing w:before="0" w:after="240"/>
        <w:rPr>
          <w:rFonts w:ascii="Times New Roman" w:hAnsi="Times New Roman" w:cs="Times New Roman"/>
          <w:sz w:val="24"/>
          <w:szCs w:val="24"/>
        </w:rPr>
      </w:pPr>
      <w:r w:rsidRPr="00DB384A">
        <w:rPr>
          <w:rFonts w:ascii="Times New Roman" w:hAnsi="Times New Roman" w:cs="Times New Roman"/>
          <w:sz w:val="24"/>
          <w:szCs w:val="24"/>
        </w:rPr>
        <w:t>C</w:t>
      </w:r>
      <w:r w:rsidR="001C5AA9" w:rsidRPr="00DB384A">
        <w:rPr>
          <w:rFonts w:ascii="Times New Roman" w:hAnsi="Times New Roman" w:cs="Times New Roman"/>
          <w:sz w:val="24"/>
          <w:szCs w:val="24"/>
        </w:rPr>
        <w:t xml:space="preserve">. </w:t>
      </w:r>
      <w:r w:rsidR="001C5AA9" w:rsidRPr="00DB384A">
        <w:rPr>
          <w:rFonts w:ascii="Times New Roman" w:hAnsi="Times New Roman" w:cs="Times New Roman"/>
          <w:sz w:val="24"/>
          <w:szCs w:val="24"/>
        </w:rPr>
        <w:tab/>
      </w:r>
      <w:r w:rsidR="00FF4E51" w:rsidRPr="00DB384A">
        <w:rPr>
          <w:rFonts w:ascii="Times New Roman" w:hAnsi="Times New Roman" w:cs="Times New Roman"/>
          <w:sz w:val="24"/>
          <w:szCs w:val="24"/>
        </w:rPr>
        <w:t xml:space="preserve">Contemporary </w:t>
      </w:r>
      <w:r w:rsidR="00AB38D5" w:rsidRPr="00DB384A">
        <w:rPr>
          <w:rFonts w:ascii="Times New Roman" w:hAnsi="Times New Roman" w:cs="Times New Roman"/>
          <w:sz w:val="24"/>
          <w:szCs w:val="24"/>
        </w:rPr>
        <w:t>s</w:t>
      </w:r>
      <w:r w:rsidR="00FF4E51" w:rsidRPr="00DB384A">
        <w:rPr>
          <w:rFonts w:ascii="Times New Roman" w:hAnsi="Times New Roman" w:cs="Times New Roman"/>
          <w:sz w:val="24"/>
          <w:szCs w:val="24"/>
        </w:rPr>
        <w:t xml:space="preserve">tatus </w:t>
      </w:r>
      <w:r w:rsidR="00AB38D5" w:rsidRPr="00DB384A">
        <w:rPr>
          <w:rFonts w:ascii="Times New Roman" w:hAnsi="Times New Roman" w:cs="Times New Roman"/>
          <w:sz w:val="24"/>
          <w:szCs w:val="24"/>
        </w:rPr>
        <w:t>r</w:t>
      </w:r>
      <w:r w:rsidR="00FF4E51" w:rsidRPr="00DB384A">
        <w:rPr>
          <w:rFonts w:ascii="Times New Roman" w:hAnsi="Times New Roman" w:cs="Times New Roman"/>
          <w:sz w:val="24"/>
          <w:szCs w:val="24"/>
        </w:rPr>
        <w:t>egime</w:t>
      </w:r>
    </w:p>
    <w:p w:rsidR="00AC61CB" w:rsidRDefault="001F7775" w:rsidP="00AC61CB">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In 1985, </w:t>
      </w:r>
      <w:r w:rsidR="00B01403" w:rsidRPr="00DB384A">
        <w:rPr>
          <w:rFonts w:ascii="Times New Roman" w:hAnsi="Times New Roman" w:cs="Times New Roman"/>
          <w:sz w:val="24"/>
          <w:szCs w:val="24"/>
        </w:rPr>
        <w:t xml:space="preserve">in an effort to </w:t>
      </w:r>
      <w:r w:rsidR="00D47CB6" w:rsidRPr="00DB384A">
        <w:rPr>
          <w:rFonts w:ascii="Times New Roman" w:hAnsi="Times New Roman" w:cs="Times New Roman"/>
          <w:sz w:val="24"/>
          <w:szCs w:val="24"/>
        </w:rPr>
        <w:t xml:space="preserve">bring </w:t>
      </w:r>
      <w:r w:rsidR="0039506B">
        <w:rPr>
          <w:rFonts w:ascii="Times New Roman" w:hAnsi="Times New Roman" w:cs="Times New Roman"/>
          <w:sz w:val="24"/>
          <w:szCs w:val="24"/>
        </w:rPr>
        <w:t>the</w:t>
      </w:r>
      <w:r w:rsidR="00D47CB6" w:rsidRPr="00DB384A">
        <w:rPr>
          <w:rFonts w:ascii="Times New Roman" w:hAnsi="Times New Roman" w:cs="Times New Roman"/>
          <w:sz w:val="24"/>
          <w:szCs w:val="24"/>
        </w:rPr>
        <w:t xml:space="preserve"> </w:t>
      </w:r>
      <w:r w:rsidR="00D47CB6" w:rsidRPr="00DB384A">
        <w:rPr>
          <w:rFonts w:ascii="Times New Roman" w:hAnsi="Times New Roman" w:cs="Times New Roman"/>
          <w:i/>
          <w:sz w:val="24"/>
          <w:szCs w:val="24"/>
        </w:rPr>
        <w:t>Indian Act</w:t>
      </w:r>
      <w:r w:rsidR="00D47CB6" w:rsidRPr="00DB384A">
        <w:rPr>
          <w:rFonts w:ascii="Times New Roman" w:hAnsi="Times New Roman" w:cs="Times New Roman"/>
          <w:sz w:val="24"/>
          <w:szCs w:val="24"/>
        </w:rPr>
        <w:t xml:space="preserve"> into compliance</w:t>
      </w:r>
      <w:r w:rsidR="00B01403" w:rsidRPr="00DB384A">
        <w:rPr>
          <w:rFonts w:ascii="Times New Roman" w:hAnsi="Times New Roman" w:cs="Times New Roman"/>
          <w:sz w:val="24"/>
          <w:szCs w:val="24"/>
        </w:rPr>
        <w:t xml:space="preserve"> with </w:t>
      </w:r>
      <w:r w:rsidRPr="00DB384A">
        <w:rPr>
          <w:rFonts w:ascii="Times New Roman" w:hAnsi="Times New Roman" w:cs="Times New Roman"/>
          <w:sz w:val="24"/>
          <w:szCs w:val="24"/>
        </w:rPr>
        <w:t xml:space="preserve">s. 15 of the </w:t>
      </w:r>
      <w:r w:rsidRPr="00DB384A">
        <w:rPr>
          <w:rFonts w:ascii="Times New Roman" w:hAnsi="Times New Roman" w:cs="Times New Roman"/>
          <w:i/>
          <w:sz w:val="24"/>
          <w:szCs w:val="24"/>
        </w:rPr>
        <w:t>Charter</w:t>
      </w:r>
      <w:r w:rsidR="0058576E" w:rsidRPr="00DB384A">
        <w:rPr>
          <w:rFonts w:ascii="Times New Roman" w:hAnsi="Times New Roman" w:cs="Times New Roman"/>
          <w:sz w:val="24"/>
          <w:szCs w:val="24"/>
        </w:rPr>
        <w:t xml:space="preserve">, </w:t>
      </w:r>
      <w:r w:rsidRPr="00DB384A">
        <w:rPr>
          <w:rFonts w:ascii="Times New Roman" w:hAnsi="Times New Roman" w:cs="Times New Roman"/>
          <w:sz w:val="24"/>
          <w:szCs w:val="24"/>
        </w:rPr>
        <w:t xml:space="preserve">Parliament </w:t>
      </w:r>
      <w:r w:rsidR="003564A1" w:rsidRPr="00DB384A">
        <w:rPr>
          <w:rFonts w:ascii="Times New Roman" w:hAnsi="Times New Roman" w:cs="Times New Roman"/>
          <w:sz w:val="24"/>
          <w:szCs w:val="24"/>
        </w:rPr>
        <w:t>amended the</w:t>
      </w:r>
      <w:r w:rsidR="00D47CB6" w:rsidRPr="00DB384A">
        <w:rPr>
          <w:rFonts w:ascii="Times New Roman" w:hAnsi="Times New Roman" w:cs="Times New Roman"/>
          <w:sz w:val="24"/>
          <w:szCs w:val="24"/>
        </w:rPr>
        <w:t xml:space="preserve"> provisions</w:t>
      </w:r>
      <w:r w:rsidR="0023063F" w:rsidRPr="00DB384A">
        <w:rPr>
          <w:rFonts w:ascii="Times New Roman" w:hAnsi="Times New Roman" w:cs="Times New Roman"/>
          <w:sz w:val="24"/>
          <w:szCs w:val="24"/>
        </w:rPr>
        <w:t xml:space="preserve"> governing registration</w:t>
      </w:r>
      <w:r w:rsidR="00B01403" w:rsidRPr="00DB384A">
        <w:rPr>
          <w:rFonts w:ascii="Times New Roman" w:hAnsi="Times New Roman" w:cs="Times New Roman"/>
          <w:sz w:val="24"/>
          <w:szCs w:val="24"/>
        </w:rPr>
        <w:t>.</w:t>
      </w:r>
      <w:r w:rsidR="003564A1" w:rsidRPr="00DB384A">
        <w:rPr>
          <w:rStyle w:val="FootnoteReference"/>
          <w:rFonts w:ascii="Times New Roman" w:hAnsi="Times New Roman" w:cs="Times New Roman"/>
          <w:sz w:val="24"/>
          <w:szCs w:val="24"/>
        </w:rPr>
        <w:footnoteReference w:id="15"/>
      </w:r>
      <w:r w:rsidR="00D47CB6" w:rsidRPr="00DB384A">
        <w:rPr>
          <w:rFonts w:ascii="Times New Roman" w:hAnsi="Times New Roman" w:cs="Times New Roman"/>
          <w:sz w:val="24"/>
          <w:szCs w:val="24"/>
        </w:rPr>
        <w:t xml:space="preserve"> </w:t>
      </w:r>
      <w:r w:rsidR="00B76781" w:rsidRPr="00DB384A">
        <w:rPr>
          <w:rFonts w:ascii="Times New Roman" w:hAnsi="Times New Roman" w:cs="Times New Roman"/>
          <w:sz w:val="24"/>
          <w:szCs w:val="24"/>
        </w:rPr>
        <w:t xml:space="preserve">The </w:t>
      </w:r>
      <w:r w:rsidR="00B76781" w:rsidRPr="00DB384A">
        <w:rPr>
          <w:rFonts w:ascii="Times New Roman" w:hAnsi="Times New Roman" w:cs="Times New Roman"/>
          <w:i/>
          <w:sz w:val="24"/>
          <w:szCs w:val="24"/>
        </w:rPr>
        <w:t xml:space="preserve">Indian </w:t>
      </w:r>
      <w:r w:rsidR="00251F34" w:rsidRPr="00DB384A">
        <w:rPr>
          <w:rFonts w:ascii="Times New Roman" w:hAnsi="Times New Roman" w:cs="Times New Roman"/>
          <w:i/>
          <w:sz w:val="24"/>
          <w:szCs w:val="24"/>
        </w:rPr>
        <w:t>Act</w:t>
      </w:r>
      <w:r w:rsidR="00251F34" w:rsidRPr="00DB384A">
        <w:rPr>
          <w:rFonts w:ascii="Times New Roman" w:hAnsi="Times New Roman" w:cs="Times New Roman"/>
          <w:sz w:val="24"/>
          <w:szCs w:val="24"/>
        </w:rPr>
        <w:t xml:space="preserve"> </w:t>
      </w:r>
      <w:r w:rsidR="00B76781" w:rsidRPr="00DB384A">
        <w:rPr>
          <w:rFonts w:ascii="Times New Roman" w:hAnsi="Times New Roman" w:cs="Times New Roman"/>
          <w:sz w:val="24"/>
          <w:szCs w:val="24"/>
        </w:rPr>
        <w:t xml:space="preserve">now </w:t>
      </w:r>
      <w:r w:rsidR="00251F34" w:rsidRPr="00DB384A">
        <w:rPr>
          <w:rFonts w:ascii="Times New Roman" w:hAnsi="Times New Roman" w:cs="Times New Roman"/>
          <w:sz w:val="24"/>
          <w:szCs w:val="24"/>
        </w:rPr>
        <w:t>establishes</w:t>
      </w:r>
      <w:r w:rsidR="00F5153F" w:rsidRPr="00DB384A">
        <w:rPr>
          <w:rFonts w:ascii="Times New Roman" w:hAnsi="Times New Roman" w:cs="Times New Roman"/>
          <w:sz w:val="24"/>
          <w:szCs w:val="24"/>
        </w:rPr>
        <w:t xml:space="preserve"> </w:t>
      </w:r>
      <w:r w:rsidR="00452946" w:rsidRPr="00DB384A">
        <w:rPr>
          <w:rFonts w:ascii="Times New Roman" w:hAnsi="Times New Roman" w:cs="Times New Roman"/>
          <w:sz w:val="24"/>
          <w:szCs w:val="24"/>
        </w:rPr>
        <w:t>a</w:t>
      </w:r>
      <w:r w:rsidR="000711C6" w:rsidRPr="00DB384A">
        <w:rPr>
          <w:rFonts w:ascii="Times New Roman" w:hAnsi="Times New Roman" w:cs="Times New Roman"/>
          <w:sz w:val="24"/>
          <w:szCs w:val="24"/>
        </w:rPr>
        <w:t xml:space="preserve"> two-tiered system of status.</w:t>
      </w:r>
      <w:r w:rsidR="00AE4CA3" w:rsidRPr="00DB384A">
        <w:rPr>
          <w:rFonts w:ascii="Times New Roman" w:hAnsi="Times New Roman" w:cs="Times New Roman"/>
          <w:sz w:val="24"/>
          <w:szCs w:val="24"/>
        </w:rPr>
        <w:t xml:space="preserve"> </w:t>
      </w:r>
      <w:r w:rsidR="00B17E6F" w:rsidRPr="00DB384A">
        <w:rPr>
          <w:rFonts w:ascii="Times New Roman" w:hAnsi="Times New Roman" w:cs="Times New Roman"/>
          <w:sz w:val="24"/>
          <w:szCs w:val="24"/>
        </w:rPr>
        <w:t>Under s. 6(1</w:t>
      </w:r>
      <w:proofErr w:type="gramStart"/>
      <w:r w:rsidR="00B17E6F" w:rsidRPr="00DB384A">
        <w:rPr>
          <w:rFonts w:ascii="Times New Roman" w:hAnsi="Times New Roman" w:cs="Times New Roman"/>
          <w:sz w:val="24"/>
          <w:szCs w:val="24"/>
        </w:rPr>
        <w:t>)(</w:t>
      </w:r>
      <w:proofErr w:type="gramEnd"/>
      <w:r w:rsidR="00B17E6F" w:rsidRPr="00DB384A">
        <w:rPr>
          <w:rFonts w:ascii="Times New Roman" w:hAnsi="Times New Roman" w:cs="Times New Roman"/>
          <w:sz w:val="24"/>
          <w:szCs w:val="24"/>
        </w:rPr>
        <w:t>f), “f</w:t>
      </w:r>
      <w:r w:rsidR="00AE4CA3" w:rsidRPr="00DB384A">
        <w:rPr>
          <w:rFonts w:ascii="Times New Roman" w:hAnsi="Times New Roman" w:cs="Times New Roman"/>
          <w:sz w:val="24"/>
          <w:szCs w:val="24"/>
        </w:rPr>
        <w:t xml:space="preserve">ull” status is available to </w:t>
      </w:r>
      <w:r w:rsidR="008726AE" w:rsidRPr="00DB384A">
        <w:rPr>
          <w:rFonts w:ascii="Times New Roman" w:hAnsi="Times New Roman" w:cs="Times New Roman"/>
          <w:sz w:val="24"/>
          <w:szCs w:val="24"/>
        </w:rPr>
        <w:t>people with</w:t>
      </w:r>
      <w:r w:rsidR="00B17E6F" w:rsidRPr="00DB384A">
        <w:rPr>
          <w:rFonts w:ascii="Times New Roman" w:hAnsi="Times New Roman" w:cs="Times New Roman"/>
          <w:sz w:val="24"/>
          <w:szCs w:val="24"/>
        </w:rPr>
        <w:t xml:space="preserve"> two</w:t>
      </w:r>
      <w:r w:rsidR="00AE4CA3" w:rsidRPr="00DB384A">
        <w:rPr>
          <w:rFonts w:ascii="Times New Roman" w:hAnsi="Times New Roman" w:cs="Times New Roman"/>
          <w:sz w:val="24"/>
          <w:szCs w:val="24"/>
        </w:rPr>
        <w:t xml:space="preserve"> parents </w:t>
      </w:r>
      <w:r w:rsidR="00251F34" w:rsidRPr="00DB384A">
        <w:rPr>
          <w:rFonts w:ascii="Times New Roman" w:hAnsi="Times New Roman" w:cs="Times New Roman"/>
          <w:sz w:val="24"/>
          <w:szCs w:val="24"/>
        </w:rPr>
        <w:t>who a</w:t>
      </w:r>
      <w:r w:rsidR="00B17E6F" w:rsidRPr="00DB384A">
        <w:rPr>
          <w:rFonts w:ascii="Times New Roman" w:hAnsi="Times New Roman" w:cs="Times New Roman"/>
          <w:sz w:val="24"/>
          <w:szCs w:val="24"/>
        </w:rPr>
        <w:t>re entitled to be registered</w:t>
      </w:r>
      <w:r w:rsidR="00AE4CA3" w:rsidRPr="00DB384A">
        <w:rPr>
          <w:rFonts w:ascii="Times New Roman" w:hAnsi="Times New Roman" w:cs="Times New Roman"/>
          <w:sz w:val="24"/>
          <w:szCs w:val="24"/>
        </w:rPr>
        <w:t>.</w:t>
      </w:r>
      <w:r w:rsidR="00A97342" w:rsidRPr="00DB384A">
        <w:rPr>
          <w:rStyle w:val="FootnoteReference"/>
          <w:rFonts w:ascii="Times New Roman" w:hAnsi="Times New Roman" w:cs="Times New Roman"/>
          <w:sz w:val="24"/>
          <w:szCs w:val="24"/>
        </w:rPr>
        <w:footnoteReference w:id="16"/>
      </w:r>
      <w:r w:rsidR="009215FA" w:rsidRPr="00DB384A">
        <w:rPr>
          <w:rFonts w:ascii="Times New Roman" w:hAnsi="Times New Roman" w:cs="Times New Roman"/>
          <w:sz w:val="24"/>
          <w:szCs w:val="24"/>
        </w:rPr>
        <w:t xml:space="preserve"> </w:t>
      </w:r>
      <w:r w:rsidR="00B17E6F" w:rsidRPr="00DB384A">
        <w:rPr>
          <w:rFonts w:ascii="Times New Roman" w:hAnsi="Times New Roman" w:cs="Times New Roman"/>
          <w:sz w:val="24"/>
          <w:szCs w:val="24"/>
        </w:rPr>
        <w:t xml:space="preserve">A person registered under s. 6(1) may enjoy all the </w:t>
      </w:r>
      <w:r w:rsidR="00B17E6F" w:rsidRPr="00DB384A">
        <w:rPr>
          <w:rFonts w:ascii="Times New Roman" w:hAnsi="Times New Roman" w:cs="Times New Roman"/>
          <w:sz w:val="24"/>
          <w:szCs w:val="24"/>
        </w:rPr>
        <w:lastRenderedPageBreak/>
        <w:t>benefits of registration</w:t>
      </w:r>
      <w:r w:rsidR="006C4D59">
        <w:rPr>
          <w:rFonts w:ascii="Times New Roman" w:hAnsi="Times New Roman" w:cs="Times New Roman"/>
          <w:sz w:val="24"/>
          <w:szCs w:val="24"/>
        </w:rPr>
        <w:t>, and may</w:t>
      </w:r>
      <w:r w:rsidR="00D672C7">
        <w:rPr>
          <w:rFonts w:ascii="Times New Roman" w:hAnsi="Times New Roman" w:cs="Times New Roman"/>
          <w:sz w:val="24"/>
          <w:szCs w:val="24"/>
        </w:rPr>
        <w:t xml:space="preserve"> </w:t>
      </w:r>
      <w:r w:rsidR="00B17E6F" w:rsidRPr="00DB384A">
        <w:rPr>
          <w:rFonts w:ascii="Times New Roman" w:hAnsi="Times New Roman" w:cs="Times New Roman"/>
          <w:sz w:val="24"/>
          <w:szCs w:val="24"/>
        </w:rPr>
        <w:t>pass</w:t>
      </w:r>
      <w:r w:rsidR="00A97342" w:rsidRPr="00DB384A">
        <w:rPr>
          <w:rFonts w:ascii="Times New Roman" w:hAnsi="Times New Roman" w:cs="Times New Roman"/>
          <w:sz w:val="24"/>
          <w:szCs w:val="24"/>
        </w:rPr>
        <w:t xml:space="preserve"> </w:t>
      </w:r>
      <w:r w:rsidR="00770786" w:rsidRPr="00DB384A">
        <w:rPr>
          <w:rFonts w:ascii="Times New Roman" w:hAnsi="Times New Roman" w:cs="Times New Roman"/>
          <w:sz w:val="24"/>
          <w:szCs w:val="24"/>
        </w:rPr>
        <w:t xml:space="preserve">her </w:t>
      </w:r>
      <w:r w:rsidR="00B17E6F" w:rsidRPr="00DB384A">
        <w:rPr>
          <w:rFonts w:ascii="Times New Roman" w:hAnsi="Times New Roman" w:cs="Times New Roman"/>
          <w:sz w:val="24"/>
          <w:szCs w:val="24"/>
        </w:rPr>
        <w:t xml:space="preserve">Indian status onto </w:t>
      </w:r>
      <w:r w:rsidR="00770786" w:rsidRPr="00DB384A">
        <w:rPr>
          <w:rFonts w:ascii="Times New Roman" w:hAnsi="Times New Roman" w:cs="Times New Roman"/>
          <w:sz w:val="24"/>
          <w:szCs w:val="24"/>
        </w:rPr>
        <w:t>her</w:t>
      </w:r>
      <w:r w:rsidR="00B17E6F" w:rsidRPr="00DB384A">
        <w:rPr>
          <w:rFonts w:ascii="Times New Roman" w:hAnsi="Times New Roman" w:cs="Times New Roman"/>
          <w:sz w:val="24"/>
          <w:szCs w:val="24"/>
        </w:rPr>
        <w:t xml:space="preserve"> children</w:t>
      </w:r>
      <w:r w:rsidR="00D672C7">
        <w:rPr>
          <w:rFonts w:ascii="Times New Roman" w:hAnsi="Times New Roman" w:cs="Times New Roman"/>
          <w:sz w:val="24"/>
          <w:szCs w:val="24"/>
        </w:rPr>
        <w:t xml:space="preserve"> regardless of the status of the children’s other parent</w:t>
      </w:r>
      <w:r w:rsidR="00B17E6F" w:rsidRPr="00DB384A">
        <w:rPr>
          <w:rFonts w:ascii="Times New Roman" w:hAnsi="Times New Roman" w:cs="Times New Roman"/>
          <w:sz w:val="24"/>
          <w:szCs w:val="24"/>
        </w:rPr>
        <w:t>.</w:t>
      </w:r>
      <w:r w:rsidR="00AE4CA3" w:rsidRPr="00DB384A">
        <w:rPr>
          <w:rFonts w:ascii="Times New Roman" w:hAnsi="Times New Roman" w:cs="Times New Roman"/>
          <w:sz w:val="24"/>
          <w:szCs w:val="24"/>
        </w:rPr>
        <w:t xml:space="preserve">  </w:t>
      </w:r>
    </w:p>
    <w:p w:rsidR="00561C6A" w:rsidRPr="00AC61CB" w:rsidRDefault="00990148" w:rsidP="00AC61CB">
      <w:pPr>
        <w:pStyle w:val="FactumBodyL1"/>
        <w:spacing w:after="120"/>
        <w:ind w:left="0" w:firstLine="0"/>
        <w:rPr>
          <w:rFonts w:ascii="Times New Roman" w:hAnsi="Times New Roman" w:cs="Times New Roman"/>
          <w:sz w:val="24"/>
          <w:szCs w:val="24"/>
        </w:rPr>
      </w:pPr>
      <w:r w:rsidRPr="00AC61CB">
        <w:rPr>
          <w:rFonts w:ascii="Times New Roman" w:hAnsi="Times New Roman" w:cs="Times New Roman"/>
          <w:sz w:val="24"/>
          <w:szCs w:val="24"/>
        </w:rPr>
        <w:t>Where</w:t>
      </w:r>
      <w:r w:rsidR="00AE4CA3" w:rsidRPr="00AC61CB">
        <w:rPr>
          <w:rFonts w:ascii="Times New Roman" w:hAnsi="Times New Roman" w:cs="Times New Roman"/>
          <w:sz w:val="24"/>
          <w:szCs w:val="24"/>
        </w:rPr>
        <w:t xml:space="preserve"> a</w:t>
      </w:r>
      <w:r w:rsidR="00124D43" w:rsidRPr="00AC61CB">
        <w:rPr>
          <w:rFonts w:ascii="Times New Roman" w:hAnsi="Times New Roman" w:cs="Times New Roman"/>
          <w:sz w:val="24"/>
          <w:szCs w:val="24"/>
        </w:rPr>
        <w:t xml:space="preserve"> person</w:t>
      </w:r>
      <w:r w:rsidR="00AE4CA3" w:rsidRPr="00AC61CB">
        <w:rPr>
          <w:rFonts w:ascii="Times New Roman" w:hAnsi="Times New Roman" w:cs="Times New Roman"/>
          <w:sz w:val="24"/>
          <w:szCs w:val="24"/>
        </w:rPr>
        <w:t xml:space="preserve"> has only one parent </w:t>
      </w:r>
      <w:r w:rsidR="00124D43" w:rsidRPr="00AC61CB">
        <w:rPr>
          <w:rFonts w:ascii="Times New Roman" w:hAnsi="Times New Roman" w:cs="Times New Roman"/>
          <w:sz w:val="24"/>
          <w:szCs w:val="24"/>
        </w:rPr>
        <w:t xml:space="preserve">who </w:t>
      </w:r>
      <w:proofErr w:type="gramStart"/>
      <w:r w:rsidR="00124D43" w:rsidRPr="00AC61CB">
        <w:rPr>
          <w:rFonts w:ascii="Times New Roman" w:hAnsi="Times New Roman" w:cs="Times New Roman"/>
          <w:sz w:val="24"/>
          <w:szCs w:val="24"/>
        </w:rPr>
        <w:t>is entitled to be registered</w:t>
      </w:r>
      <w:proofErr w:type="gramEnd"/>
      <w:r w:rsidR="000E7211" w:rsidRPr="00AC61CB">
        <w:rPr>
          <w:rFonts w:ascii="Times New Roman" w:hAnsi="Times New Roman" w:cs="Times New Roman"/>
          <w:sz w:val="24"/>
          <w:szCs w:val="24"/>
        </w:rPr>
        <w:t xml:space="preserve">, on the other hand, </w:t>
      </w:r>
      <w:r w:rsidR="00770786" w:rsidRPr="00AC61CB">
        <w:rPr>
          <w:rFonts w:ascii="Times New Roman" w:hAnsi="Times New Roman" w:cs="Times New Roman"/>
          <w:sz w:val="24"/>
          <w:szCs w:val="24"/>
        </w:rPr>
        <w:t>she is</w:t>
      </w:r>
      <w:r w:rsidR="00BA7BFA">
        <w:rPr>
          <w:rFonts w:ascii="Times New Roman" w:hAnsi="Times New Roman" w:cs="Times New Roman"/>
          <w:sz w:val="24"/>
          <w:szCs w:val="24"/>
        </w:rPr>
        <w:t xml:space="preserve"> entitled </w:t>
      </w:r>
      <w:r w:rsidR="00124D43" w:rsidRPr="00AC61CB">
        <w:rPr>
          <w:rFonts w:ascii="Times New Roman" w:hAnsi="Times New Roman" w:cs="Times New Roman"/>
          <w:sz w:val="24"/>
          <w:szCs w:val="24"/>
        </w:rPr>
        <w:t xml:space="preserve">to a lesser form of status </w:t>
      </w:r>
      <w:r w:rsidR="000C0B77" w:rsidRPr="00AC61CB">
        <w:rPr>
          <w:rFonts w:ascii="Times New Roman" w:hAnsi="Times New Roman" w:cs="Times New Roman"/>
          <w:sz w:val="24"/>
          <w:szCs w:val="24"/>
        </w:rPr>
        <w:t>u</w:t>
      </w:r>
      <w:r w:rsidR="00CB5077" w:rsidRPr="00AC61CB">
        <w:rPr>
          <w:rFonts w:ascii="Times New Roman" w:hAnsi="Times New Roman" w:cs="Times New Roman"/>
          <w:sz w:val="24"/>
          <w:szCs w:val="24"/>
        </w:rPr>
        <w:t>nder</w:t>
      </w:r>
      <w:r w:rsidR="0039055B" w:rsidRPr="00AC61CB">
        <w:rPr>
          <w:rFonts w:ascii="Times New Roman" w:hAnsi="Times New Roman" w:cs="Times New Roman"/>
          <w:sz w:val="24"/>
          <w:szCs w:val="24"/>
        </w:rPr>
        <w:t xml:space="preserve"> s. 6(2). </w:t>
      </w:r>
      <w:r w:rsidR="00AE4CA3" w:rsidRPr="00AC61CB">
        <w:rPr>
          <w:rFonts w:ascii="Times New Roman" w:hAnsi="Times New Roman" w:cs="Times New Roman"/>
          <w:sz w:val="24"/>
          <w:szCs w:val="24"/>
        </w:rPr>
        <w:t xml:space="preserve">A person with status under s. 6(2) may enjoy the benefits </w:t>
      </w:r>
      <w:r w:rsidR="00124D43" w:rsidRPr="00AC61CB">
        <w:rPr>
          <w:rFonts w:ascii="Times New Roman" w:hAnsi="Times New Roman" w:cs="Times New Roman"/>
          <w:sz w:val="24"/>
          <w:szCs w:val="24"/>
        </w:rPr>
        <w:t xml:space="preserve">of Indian status </w:t>
      </w:r>
      <w:r w:rsidR="00AE4CA3" w:rsidRPr="00AC61CB">
        <w:rPr>
          <w:rFonts w:ascii="Times New Roman" w:hAnsi="Times New Roman" w:cs="Times New Roman"/>
          <w:sz w:val="24"/>
          <w:szCs w:val="24"/>
        </w:rPr>
        <w:t>in her lifetime, but cannot p</w:t>
      </w:r>
      <w:r w:rsidR="001F7775" w:rsidRPr="00AC61CB">
        <w:rPr>
          <w:rFonts w:ascii="Times New Roman" w:hAnsi="Times New Roman" w:cs="Times New Roman"/>
          <w:sz w:val="24"/>
          <w:szCs w:val="24"/>
        </w:rPr>
        <w:t>ass on that status to her child unless</w:t>
      </w:r>
      <w:r w:rsidR="00AE4CA3" w:rsidRPr="00AC61CB">
        <w:rPr>
          <w:rFonts w:ascii="Times New Roman" w:hAnsi="Times New Roman" w:cs="Times New Roman"/>
          <w:sz w:val="24"/>
          <w:szCs w:val="24"/>
        </w:rPr>
        <w:t xml:space="preserve"> </w:t>
      </w:r>
      <w:r w:rsidR="00A97342" w:rsidRPr="00AC61CB">
        <w:rPr>
          <w:rFonts w:ascii="Times New Roman" w:hAnsi="Times New Roman" w:cs="Times New Roman"/>
          <w:sz w:val="24"/>
          <w:szCs w:val="24"/>
        </w:rPr>
        <w:t xml:space="preserve">the </w:t>
      </w:r>
      <w:proofErr w:type="gramStart"/>
      <w:r w:rsidR="00A97342" w:rsidRPr="00AC61CB">
        <w:rPr>
          <w:rFonts w:ascii="Times New Roman" w:hAnsi="Times New Roman" w:cs="Times New Roman"/>
          <w:sz w:val="24"/>
          <w:szCs w:val="24"/>
        </w:rPr>
        <w:t>c</w:t>
      </w:r>
      <w:r w:rsidR="001F7775" w:rsidRPr="00AC61CB">
        <w:rPr>
          <w:rFonts w:ascii="Times New Roman" w:hAnsi="Times New Roman" w:cs="Times New Roman"/>
          <w:sz w:val="24"/>
          <w:szCs w:val="24"/>
        </w:rPr>
        <w:t>hild’s</w:t>
      </w:r>
      <w:proofErr w:type="gramEnd"/>
      <w:r w:rsidR="001F7775" w:rsidRPr="00AC61CB">
        <w:rPr>
          <w:rFonts w:ascii="Times New Roman" w:hAnsi="Times New Roman" w:cs="Times New Roman"/>
          <w:sz w:val="24"/>
          <w:szCs w:val="24"/>
        </w:rPr>
        <w:t xml:space="preserve"> other parent has status</w:t>
      </w:r>
      <w:r w:rsidR="004E1444" w:rsidRPr="00AC61CB">
        <w:rPr>
          <w:rFonts w:ascii="Times New Roman" w:hAnsi="Times New Roman" w:cs="Times New Roman"/>
          <w:sz w:val="24"/>
          <w:szCs w:val="24"/>
        </w:rPr>
        <w:t xml:space="preserve">. </w:t>
      </w:r>
      <w:r w:rsidR="00B17E6F" w:rsidRPr="00AC61CB">
        <w:rPr>
          <w:rFonts w:ascii="Times New Roman" w:hAnsi="Times New Roman" w:cs="Times New Roman"/>
          <w:sz w:val="24"/>
          <w:szCs w:val="24"/>
        </w:rPr>
        <w:t xml:space="preserve">This </w:t>
      </w:r>
      <w:proofErr w:type="gramStart"/>
      <w:r w:rsidR="00B17E6F" w:rsidRPr="00AC61CB">
        <w:rPr>
          <w:rFonts w:ascii="Times New Roman" w:hAnsi="Times New Roman" w:cs="Times New Roman"/>
          <w:sz w:val="24"/>
          <w:szCs w:val="24"/>
        </w:rPr>
        <w:t>is known</w:t>
      </w:r>
      <w:proofErr w:type="gramEnd"/>
      <w:r w:rsidR="00B17E6F" w:rsidRPr="00AC61CB">
        <w:rPr>
          <w:rFonts w:ascii="Times New Roman" w:hAnsi="Times New Roman" w:cs="Times New Roman"/>
          <w:sz w:val="24"/>
          <w:szCs w:val="24"/>
        </w:rPr>
        <w:t xml:space="preserve"> as the “second-</w:t>
      </w:r>
      <w:r w:rsidR="00AE4CA3" w:rsidRPr="00AC61CB">
        <w:rPr>
          <w:rFonts w:ascii="Times New Roman" w:hAnsi="Times New Roman" w:cs="Times New Roman"/>
          <w:sz w:val="24"/>
          <w:szCs w:val="24"/>
        </w:rPr>
        <w:t>generation cut</w:t>
      </w:r>
      <w:r w:rsidR="00B17E6F" w:rsidRPr="00AC61CB">
        <w:rPr>
          <w:rFonts w:ascii="Times New Roman" w:hAnsi="Times New Roman" w:cs="Times New Roman"/>
          <w:sz w:val="24"/>
          <w:szCs w:val="24"/>
        </w:rPr>
        <w:t>-off”</w:t>
      </w:r>
      <w:r w:rsidR="006A799F" w:rsidRPr="00AC61CB">
        <w:rPr>
          <w:rFonts w:ascii="Times New Roman" w:hAnsi="Times New Roman" w:cs="Times New Roman"/>
          <w:sz w:val="24"/>
          <w:szCs w:val="24"/>
        </w:rPr>
        <w:t>.</w:t>
      </w:r>
      <w:r w:rsidR="00124D43" w:rsidRPr="00AC61CB">
        <w:rPr>
          <w:rFonts w:ascii="Times New Roman" w:hAnsi="Times New Roman" w:cs="Times New Roman"/>
          <w:sz w:val="24"/>
          <w:szCs w:val="24"/>
        </w:rPr>
        <w:t xml:space="preserve">  </w:t>
      </w:r>
    </w:p>
    <w:p w:rsidR="007C5397" w:rsidRPr="00DB384A" w:rsidRDefault="001F7775"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Registrar has developed a </w:t>
      </w:r>
      <w:r w:rsidR="00524370" w:rsidRPr="00DB384A">
        <w:rPr>
          <w:rFonts w:ascii="Times New Roman" w:hAnsi="Times New Roman" w:cs="Times New Roman"/>
          <w:sz w:val="24"/>
          <w:szCs w:val="24"/>
        </w:rPr>
        <w:t>Policy</w:t>
      </w:r>
      <w:r w:rsidRPr="00DB384A">
        <w:rPr>
          <w:rFonts w:ascii="Times New Roman" w:hAnsi="Times New Roman" w:cs="Times New Roman"/>
          <w:sz w:val="24"/>
          <w:szCs w:val="24"/>
        </w:rPr>
        <w:t xml:space="preserve"> to guide the application of</w:t>
      </w:r>
      <w:r w:rsidR="004E1444" w:rsidRPr="00DB384A">
        <w:rPr>
          <w:rFonts w:ascii="Times New Roman" w:hAnsi="Times New Roman" w:cs="Times New Roman"/>
          <w:sz w:val="24"/>
          <w:szCs w:val="24"/>
        </w:rPr>
        <w:t xml:space="preserve"> the </w:t>
      </w:r>
      <w:proofErr w:type="gramStart"/>
      <w:r w:rsidR="004E1444" w:rsidRPr="00DB384A">
        <w:rPr>
          <w:rFonts w:ascii="Times New Roman" w:hAnsi="Times New Roman" w:cs="Times New Roman"/>
          <w:sz w:val="24"/>
          <w:szCs w:val="24"/>
        </w:rPr>
        <w:t>second generation</w:t>
      </w:r>
      <w:proofErr w:type="gramEnd"/>
      <w:r w:rsidR="004E1444" w:rsidRPr="00DB384A">
        <w:rPr>
          <w:rFonts w:ascii="Times New Roman" w:hAnsi="Times New Roman" w:cs="Times New Roman"/>
          <w:sz w:val="24"/>
          <w:szCs w:val="24"/>
        </w:rPr>
        <w:t xml:space="preserve"> cut-off.</w:t>
      </w:r>
      <w:r w:rsidRPr="00DB384A">
        <w:rPr>
          <w:rFonts w:ascii="Times New Roman" w:hAnsi="Times New Roman" w:cs="Times New Roman"/>
          <w:sz w:val="24"/>
          <w:szCs w:val="24"/>
        </w:rPr>
        <w:t xml:space="preserve"> It</w:t>
      </w:r>
      <w:r w:rsidR="006A799F" w:rsidRPr="00DB384A">
        <w:rPr>
          <w:rFonts w:ascii="Times New Roman" w:hAnsi="Times New Roman" w:cs="Times New Roman"/>
          <w:sz w:val="24"/>
          <w:szCs w:val="24"/>
        </w:rPr>
        <w:t xml:space="preserve"> </w:t>
      </w:r>
      <w:r w:rsidR="008726AE" w:rsidRPr="00DB384A">
        <w:rPr>
          <w:rFonts w:ascii="Times New Roman" w:hAnsi="Times New Roman" w:cs="Times New Roman"/>
          <w:sz w:val="24"/>
          <w:szCs w:val="24"/>
        </w:rPr>
        <w:t>sets out the</w:t>
      </w:r>
      <w:r w:rsidR="006A799F" w:rsidRPr="00DB384A">
        <w:rPr>
          <w:rFonts w:ascii="Times New Roman" w:hAnsi="Times New Roman" w:cs="Times New Roman"/>
          <w:sz w:val="24"/>
          <w:szCs w:val="24"/>
        </w:rPr>
        <w:t xml:space="preserve"> evidence the Registrar may accept to</w:t>
      </w:r>
      <w:r w:rsidR="00B76B21" w:rsidRPr="00DB384A">
        <w:rPr>
          <w:rFonts w:ascii="Times New Roman" w:hAnsi="Times New Roman" w:cs="Times New Roman"/>
          <w:sz w:val="24"/>
          <w:szCs w:val="24"/>
        </w:rPr>
        <w:t xml:space="preserve"> establish paternity</w:t>
      </w:r>
      <w:r w:rsidR="006A799F" w:rsidRPr="00DB384A">
        <w:rPr>
          <w:rFonts w:ascii="Times New Roman" w:hAnsi="Times New Roman" w:cs="Times New Roman"/>
          <w:sz w:val="24"/>
          <w:szCs w:val="24"/>
        </w:rPr>
        <w:t xml:space="preserve"> and therefore </w:t>
      </w:r>
      <w:r w:rsidR="008726AE" w:rsidRPr="00DB384A">
        <w:rPr>
          <w:rFonts w:ascii="Times New Roman" w:hAnsi="Times New Roman" w:cs="Times New Roman"/>
          <w:sz w:val="24"/>
          <w:szCs w:val="24"/>
        </w:rPr>
        <w:t>determine</w:t>
      </w:r>
      <w:r w:rsidR="006A799F" w:rsidRPr="00DB384A">
        <w:rPr>
          <w:rFonts w:ascii="Times New Roman" w:hAnsi="Times New Roman" w:cs="Times New Roman"/>
          <w:sz w:val="24"/>
          <w:szCs w:val="24"/>
        </w:rPr>
        <w:t xml:space="preserve"> how a child should be registered under the </w:t>
      </w:r>
      <w:r w:rsidR="000C0B77" w:rsidRPr="00DB384A">
        <w:rPr>
          <w:rFonts w:ascii="Times New Roman" w:hAnsi="Times New Roman" w:cs="Times New Roman"/>
          <w:i/>
          <w:sz w:val="24"/>
          <w:szCs w:val="24"/>
        </w:rPr>
        <w:t xml:space="preserve">Indian </w:t>
      </w:r>
      <w:r w:rsidR="006A799F" w:rsidRPr="00DB384A">
        <w:rPr>
          <w:rFonts w:ascii="Times New Roman" w:hAnsi="Times New Roman" w:cs="Times New Roman"/>
          <w:i/>
          <w:sz w:val="24"/>
          <w:szCs w:val="24"/>
        </w:rPr>
        <w:t>Act</w:t>
      </w:r>
      <w:r w:rsidR="006A799F" w:rsidRPr="00DB384A">
        <w:rPr>
          <w:rFonts w:ascii="Times New Roman" w:hAnsi="Times New Roman" w:cs="Times New Roman"/>
          <w:sz w:val="24"/>
          <w:szCs w:val="24"/>
        </w:rPr>
        <w:t xml:space="preserve"> – </w:t>
      </w:r>
      <w:r w:rsidR="00AB442D" w:rsidRPr="00DB384A">
        <w:rPr>
          <w:rFonts w:ascii="Times New Roman" w:hAnsi="Times New Roman" w:cs="Times New Roman"/>
          <w:sz w:val="24"/>
          <w:szCs w:val="24"/>
        </w:rPr>
        <w:t xml:space="preserve">pursuant to </w:t>
      </w:r>
      <w:r w:rsidR="006A799F" w:rsidRPr="00DB384A">
        <w:rPr>
          <w:rFonts w:ascii="Times New Roman" w:hAnsi="Times New Roman" w:cs="Times New Roman"/>
          <w:sz w:val="24"/>
          <w:szCs w:val="24"/>
        </w:rPr>
        <w:t>s. 6(1),</w:t>
      </w:r>
      <w:r w:rsidR="00AB442D" w:rsidRPr="00DB384A">
        <w:rPr>
          <w:rFonts w:ascii="Times New Roman" w:hAnsi="Times New Roman" w:cs="Times New Roman"/>
          <w:sz w:val="24"/>
          <w:szCs w:val="24"/>
        </w:rPr>
        <w:t xml:space="preserve"> pursuant to</w:t>
      </w:r>
      <w:r w:rsidR="006A799F" w:rsidRPr="00DB384A">
        <w:rPr>
          <w:rFonts w:ascii="Times New Roman" w:hAnsi="Times New Roman" w:cs="Times New Roman"/>
          <w:sz w:val="24"/>
          <w:szCs w:val="24"/>
        </w:rPr>
        <w:t xml:space="preserve"> s. 6(2)</w:t>
      </w:r>
      <w:r w:rsidR="00FC363E">
        <w:rPr>
          <w:rFonts w:ascii="Times New Roman" w:hAnsi="Times New Roman" w:cs="Times New Roman"/>
          <w:sz w:val="24"/>
          <w:szCs w:val="24"/>
        </w:rPr>
        <w:t>,</w:t>
      </w:r>
      <w:r w:rsidR="006A799F" w:rsidRPr="00DB384A">
        <w:rPr>
          <w:rFonts w:ascii="Times New Roman" w:hAnsi="Times New Roman" w:cs="Times New Roman"/>
          <w:sz w:val="24"/>
          <w:szCs w:val="24"/>
        </w:rPr>
        <w:t xml:space="preserve"> or not at all.</w:t>
      </w:r>
      <w:r w:rsidR="00561C6A" w:rsidRPr="00DB384A">
        <w:rPr>
          <w:rFonts w:ascii="Times New Roman" w:hAnsi="Times New Roman" w:cs="Times New Roman"/>
          <w:sz w:val="24"/>
          <w:szCs w:val="24"/>
        </w:rPr>
        <w:t xml:space="preserve"> </w:t>
      </w:r>
      <w:r w:rsidR="00BC3E86" w:rsidRPr="00DB384A">
        <w:rPr>
          <w:rFonts w:ascii="Times New Roman" w:hAnsi="Times New Roman" w:cs="Times New Roman"/>
          <w:sz w:val="24"/>
          <w:szCs w:val="24"/>
        </w:rPr>
        <w:t>Under th</w:t>
      </w:r>
      <w:r w:rsidR="00D355F8" w:rsidRPr="00DB384A">
        <w:rPr>
          <w:rFonts w:ascii="Times New Roman" w:hAnsi="Times New Roman" w:cs="Times New Roman"/>
          <w:sz w:val="24"/>
          <w:szCs w:val="24"/>
        </w:rPr>
        <w:t>e Policy,</w:t>
      </w:r>
      <w:r w:rsidR="003D589B" w:rsidRPr="00DB384A">
        <w:rPr>
          <w:rFonts w:ascii="Times New Roman" w:hAnsi="Times New Roman" w:cs="Times New Roman"/>
          <w:sz w:val="24"/>
          <w:szCs w:val="24"/>
        </w:rPr>
        <w:t xml:space="preserve"> the preferred evidence of paternity is a birth certificate</w:t>
      </w:r>
      <w:r w:rsidR="00D355F8" w:rsidRPr="00DB384A">
        <w:rPr>
          <w:rFonts w:ascii="Times New Roman" w:hAnsi="Times New Roman" w:cs="Times New Roman"/>
          <w:sz w:val="24"/>
          <w:szCs w:val="24"/>
        </w:rPr>
        <w:t xml:space="preserve"> </w:t>
      </w:r>
      <w:r w:rsidR="003D589B" w:rsidRPr="00DB384A">
        <w:rPr>
          <w:rFonts w:ascii="Times New Roman" w:hAnsi="Times New Roman" w:cs="Times New Roman"/>
          <w:sz w:val="24"/>
          <w:szCs w:val="24"/>
        </w:rPr>
        <w:t xml:space="preserve">issued by provincial or territorial authorities </w:t>
      </w:r>
      <w:r w:rsidR="00B76781" w:rsidRPr="00DB384A">
        <w:rPr>
          <w:rFonts w:ascii="Times New Roman" w:hAnsi="Times New Roman" w:cs="Times New Roman"/>
          <w:sz w:val="24"/>
          <w:szCs w:val="24"/>
        </w:rPr>
        <w:t>naming the father</w:t>
      </w:r>
      <w:r w:rsidR="004E1444" w:rsidRPr="00DB384A">
        <w:rPr>
          <w:rFonts w:ascii="Times New Roman" w:hAnsi="Times New Roman" w:cs="Times New Roman"/>
          <w:sz w:val="24"/>
          <w:szCs w:val="24"/>
        </w:rPr>
        <w:t>.</w:t>
      </w:r>
      <w:r w:rsidR="000B07D5" w:rsidRPr="00DB384A">
        <w:rPr>
          <w:rFonts w:ascii="Times New Roman" w:hAnsi="Times New Roman" w:cs="Times New Roman"/>
          <w:sz w:val="24"/>
          <w:szCs w:val="24"/>
        </w:rPr>
        <w:t xml:space="preserve"> </w:t>
      </w:r>
      <w:proofErr w:type="gramStart"/>
      <w:r w:rsidR="000B07D5" w:rsidRPr="00DB384A">
        <w:rPr>
          <w:rFonts w:ascii="Times New Roman" w:hAnsi="Times New Roman" w:cs="Times New Roman"/>
          <w:sz w:val="24"/>
          <w:szCs w:val="24"/>
        </w:rPr>
        <w:t xml:space="preserve">Generally speaking, </w:t>
      </w:r>
      <w:r w:rsidR="00AB38D5" w:rsidRPr="00DB384A">
        <w:rPr>
          <w:rFonts w:ascii="Times New Roman" w:hAnsi="Times New Roman" w:cs="Times New Roman"/>
          <w:sz w:val="24"/>
          <w:szCs w:val="24"/>
        </w:rPr>
        <w:t>the</w:t>
      </w:r>
      <w:proofErr w:type="gramEnd"/>
      <w:r w:rsidR="00AB38D5" w:rsidRPr="00DB384A">
        <w:rPr>
          <w:rFonts w:ascii="Times New Roman" w:hAnsi="Times New Roman" w:cs="Times New Roman"/>
          <w:sz w:val="24"/>
          <w:szCs w:val="24"/>
        </w:rPr>
        <w:t xml:space="preserve"> form </w:t>
      </w:r>
      <w:r w:rsidR="006C6CA1" w:rsidRPr="00DB384A">
        <w:rPr>
          <w:rFonts w:ascii="Times New Roman" w:hAnsi="Times New Roman" w:cs="Times New Roman"/>
          <w:sz w:val="24"/>
          <w:szCs w:val="24"/>
        </w:rPr>
        <w:t>required to obtain a birth certificate</w:t>
      </w:r>
      <w:r w:rsidR="000B07D5" w:rsidRPr="00DB384A">
        <w:rPr>
          <w:rFonts w:ascii="Times New Roman" w:hAnsi="Times New Roman" w:cs="Times New Roman"/>
          <w:sz w:val="24"/>
          <w:szCs w:val="24"/>
        </w:rPr>
        <w:t xml:space="preserve"> </w:t>
      </w:r>
      <w:r w:rsidR="00AB38D5" w:rsidRPr="00DB384A">
        <w:rPr>
          <w:rFonts w:ascii="Times New Roman" w:hAnsi="Times New Roman" w:cs="Times New Roman"/>
          <w:sz w:val="24"/>
          <w:szCs w:val="24"/>
        </w:rPr>
        <w:t>is</w:t>
      </w:r>
      <w:r w:rsidR="000B07D5" w:rsidRPr="00DB384A">
        <w:rPr>
          <w:rFonts w:ascii="Times New Roman" w:hAnsi="Times New Roman" w:cs="Times New Roman"/>
          <w:sz w:val="24"/>
          <w:szCs w:val="24"/>
        </w:rPr>
        <w:t xml:space="preserve"> filled out </w:t>
      </w:r>
      <w:r w:rsidR="000E7211">
        <w:rPr>
          <w:rFonts w:ascii="Times New Roman" w:hAnsi="Times New Roman" w:cs="Times New Roman"/>
          <w:sz w:val="24"/>
          <w:szCs w:val="24"/>
        </w:rPr>
        <w:t xml:space="preserve">and signed </w:t>
      </w:r>
      <w:r w:rsidR="005E2322" w:rsidRPr="00DB384A">
        <w:rPr>
          <w:rFonts w:ascii="Times New Roman" w:hAnsi="Times New Roman" w:cs="Times New Roman"/>
          <w:sz w:val="24"/>
          <w:szCs w:val="24"/>
        </w:rPr>
        <w:t xml:space="preserve">by both parents </w:t>
      </w:r>
      <w:r w:rsidR="000B07D5" w:rsidRPr="00DB384A">
        <w:rPr>
          <w:rFonts w:ascii="Times New Roman" w:hAnsi="Times New Roman" w:cs="Times New Roman"/>
          <w:sz w:val="24"/>
          <w:szCs w:val="24"/>
        </w:rPr>
        <w:t>in</w:t>
      </w:r>
      <w:r w:rsidR="004E1444" w:rsidRPr="00DB384A">
        <w:rPr>
          <w:rFonts w:ascii="Times New Roman" w:hAnsi="Times New Roman" w:cs="Times New Roman"/>
          <w:sz w:val="24"/>
          <w:szCs w:val="24"/>
        </w:rPr>
        <w:t xml:space="preserve"> the hospital just after birth</w:t>
      </w:r>
      <w:r w:rsidR="000B6EC0" w:rsidRPr="00DB384A">
        <w:rPr>
          <w:rFonts w:ascii="Times New Roman" w:hAnsi="Times New Roman" w:cs="Times New Roman"/>
          <w:sz w:val="24"/>
          <w:szCs w:val="24"/>
        </w:rPr>
        <w:t>.</w:t>
      </w:r>
      <w:r w:rsidR="00890939" w:rsidRPr="00DB384A">
        <w:rPr>
          <w:rStyle w:val="FootnoteReference"/>
          <w:rFonts w:ascii="Times New Roman" w:hAnsi="Times New Roman" w:cs="Times New Roman"/>
          <w:sz w:val="24"/>
          <w:szCs w:val="24"/>
        </w:rPr>
        <w:footnoteReference w:id="17"/>
      </w:r>
      <w:r w:rsidR="00A50063" w:rsidRPr="00DB384A">
        <w:rPr>
          <w:rFonts w:ascii="Times New Roman" w:hAnsi="Times New Roman" w:cs="Times New Roman"/>
          <w:sz w:val="24"/>
          <w:szCs w:val="24"/>
        </w:rPr>
        <w:t xml:space="preserve"> </w:t>
      </w:r>
      <w:r w:rsidR="00890939" w:rsidRPr="00DB384A">
        <w:rPr>
          <w:rFonts w:ascii="Times New Roman" w:hAnsi="Times New Roman" w:cs="Times New Roman"/>
          <w:sz w:val="24"/>
          <w:szCs w:val="24"/>
        </w:rPr>
        <w:t xml:space="preserve">If the birth certificate does not identify the child’s father, </w:t>
      </w:r>
      <w:r w:rsidR="000A41DB" w:rsidRPr="00DB384A">
        <w:rPr>
          <w:rFonts w:ascii="Times New Roman" w:hAnsi="Times New Roman" w:cs="Times New Roman"/>
          <w:sz w:val="24"/>
          <w:szCs w:val="24"/>
        </w:rPr>
        <w:t>the</w:t>
      </w:r>
      <w:r w:rsidR="00BC3E86" w:rsidRPr="00DB384A">
        <w:rPr>
          <w:rFonts w:ascii="Times New Roman" w:hAnsi="Times New Roman" w:cs="Times New Roman"/>
          <w:sz w:val="24"/>
          <w:szCs w:val="24"/>
        </w:rPr>
        <w:t xml:space="preserve"> Registrar may consider other evidence, such as </w:t>
      </w:r>
      <w:r w:rsidR="000A41DB" w:rsidRPr="00DB384A">
        <w:rPr>
          <w:rFonts w:ascii="Times New Roman" w:hAnsi="Times New Roman" w:cs="Times New Roman"/>
          <w:sz w:val="24"/>
          <w:szCs w:val="24"/>
        </w:rPr>
        <w:t xml:space="preserve">a </w:t>
      </w:r>
      <w:r w:rsidR="003D589B" w:rsidRPr="00DB384A">
        <w:rPr>
          <w:rFonts w:ascii="Times New Roman" w:hAnsi="Times New Roman" w:cs="Times New Roman"/>
          <w:sz w:val="24"/>
          <w:szCs w:val="24"/>
        </w:rPr>
        <w:t>c</w:t>
      </w:r>
      <w:r w:rsidR="00BC3E86" w:rsidRPr="00DB384A">
        <w:rPr>
          <w:rFonts w:ascii="Times New Roman" w:hAnsi="Times New Roman" w:cs="Times New Roman"/>
          <w:sz w:val="24"/>
          <w:szCs w:val="24"/>
        </w:rPr>
        <w:t>ourt order declaring paternity,</w:t>
      </w:r>
      <w:r w:rsidR="00E25283" w:rsidRPr="00DB384A">
        <w:rPr>
          <w:rFonts w:ascii="Times New Roman" w:hAnsi="Times New Roman" w:cs="Times New Roman"/>
          <w:sz w:val="24"/>
          <w:szCs w:val="24"/>
        </w:rPr>
        <w:t xml:space="preserve"> or</w:t>
      </w:r>
      <w:r w:rsidR="00BC3E86" w:rsidRPr="00DB384A">
        <w:rPr>
          <w:rFonts w:ascii="Times New Roman" w:hAnsi="Times New Roman" w:cs="Times New Roman"/>
          <w:sz w:val="24"/>
          <w:szCs w:val="24"/>
        </w:rPr>
        <w:t xml:space="preserve"> a statutory declarat</w:t>
      </w:r>
      <w:r w:rsidR="00D355F8" w:rsidRPr="00DB384A">
        <w:rPr>
          <w:rFonts w:ascii="Times New Roman" w:hAnsi="Times New Roman" w:cs="Times New Roman"/>
          <w:sz w:val="24"/>
          <w:szCs w:val="24"/>
        </w:rPr>
        <w:t>ion from both parents</w:t>
      </w:r>
      <w:r w:rsidR="00DC0C55" w:rsidRPr="00DB384A">
        <w:rPr>
          <w:rFonts w:ascii="Times New Roman" w:hAnsi="Times New Roman" w:cs="Times New Roman"/>
          <w:sz w:val="24"/>
          <w:szCs w:val="24"/>
        </w:rPr>
        <w:t xml:space="preserve"> or </w:t>
      </w:r>
      <w:r w:rsidR="000A41DB" w:rsidRPr="00DB384A">
        <w:rPr>
          <w:rFonts w:ascii="Times New Roman" w:hAnsi="Times New Roman" w:cs="Times New Roman"/>
          <w:sz w:val="24"/>
          <w:szCs w:val="24"/>
        </w:rPr>
        <w:t>from two close family members who can identify the father fr</w:t>
      </w:r>
      <w:r w:rsidR="00DC0C55" w:rsidRPr="00DB384A">
        <w:rPr>
          <w:rFonts w:ascii="Times New Roman" w:hAnsi="Times New Roman" w:cs="Times New Roman"/>
          <w:sz w:val="24"/>
          <w:szCs w:val="24"/>
        </w:rPr>
        <w:t>om their own personal knowledge</w:t>
      </w:r>
      <w:r w:rsidR="00A50063" w:rsidRPr="00DB384A">
        <w:rPr>
          <w:rFonts w:ascii="Times New Roman" w:hAnsi="Times New Roman" w:cs="Times New Roman"/>
          <w:sz w:val="24"/>
          <w:szCs w:val="24"/>
        </w:rPr>
        <w:t>.</w:t>
      </w:r>
      <w:r w:rsidR="000A41DB" w:rsidRPr="00DB384A">
        <w:rPr>
          <w:rFonts w:ascii="Times New Roman" w:hAnsi="Times New Roman" w:cs="Times New Roman"/>
          <w:sz w:val="24"/>
          <w:szCs w:val="24"/>
        </w:rPr>
        <w:t xml:space="preserve"> In cases where confidentiality or safety is a concern, the Registrar may consider other evidence such as DNA paternity testing or a paternity</w:t>
      </w:r>
      <w:r w:rsidR="00240FBD">
        <w:rPr>
          <w:rFonts w:ascii="Times New Roman" w:hAnsi="Times New Roman" w:cs="Times New Roman"/>
          <w:sz w:val="24"/>
          <w:szCs w:val="24"/>
        </w:rPr>
        <w:t xml:space="preserve"> hearing</w:t>
      </w:r>
      <w:r w:rsidR="000A41DB" w:rsidRPr="00DB384A">
        <w:rPr>
          <w:rFonts w:ascii="Times New Roman" w:hAnsi="Times New Roman" w:cs="Times New Roman"/>
          <w:sz w:val="24"/>
          <w:szCs w:val="24"/>
        </w:rPr>
        <w:t>.</w:t>
      </w:r>
      <w:r w:rsidR="000A41DB" w:rsidRPr="00DB384A">
        <w:rPr>
          <w:rStyle w:val="FootnoteReference"/>
          <w:rFonts w:ascii="Times New Roman" w:hAnsi="Times New Roman" w:cs="Times New Roman"/>
          <w:sz w:val="24"/>
          <w:szCs w:val="24"/>
        </w:rPr>
        <w:footnoteReference w:id="18"/>
      </w:r>
      <w:r w:rsidR="00BC3E86" w:rsidRPr="00DB384A">
        <w:rPr>
          <w:rFonts w:ascii="Times New Roman" w:hAnsi="Times New Roman" w:cs="Times New Roman"/>
          <w:sz w:val="24"/>
          <w:szCs w:val="24"/>
        </w:rPr>
        <w:t xml:space="preserve"> </w:t>
      </w:r>
    </w:p>
    <w:p w:rsidR="00C8600F" w:rsidRPr="008C680B" w:rsidRDefault="00561C6A" w:rsidP="008C680B">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Where a mother </w:t>
      </w:r>
      <w:r w:rsidR="005636F8">
        <w:rPr>
          <w:rFonts w:ascii="Times New Roman" w:hAnsi="Times New Roman" w:cs="Times New Roman"/>
          <w:sz w:val="24"/>
          <w:szCs w:val="24"/>
        </w:rPr>
        <w:t>i</w:t>
      </w:r>
      <w:r w:rsidR="0051355B">
        <w:rPr>
          <w:rFonts w:ascii="Times New Roman" w:hAnsi="Times New Roman" w:cs="Times New Roman"/>
          <w:sz w:val="24"/>
          <w:szCs w:val="24"/>
        </w:rPr>
        <w:t xml:space="preserve">s unable </w:t>
      </w:r>
      <w:r w:rsidR="0039506B">
        <w:rPr>
          <w:rFonts w:ascii="Times New Roman" w:hAnsi="Times New Roman" w:cs="Times New Roman"/>
          <w:sz w:val="24"/>
          <w:szCs w:val="24"/>
        </w:rPr>
        <w:t>to prove</w:t>
      </w:r>
      <w:r w:rsidRPr="00DB384A">
        <w:rPr>
          <w:rFonts w:ascii="Times New Roman" w:hAnsi="Times New Roman" w:cs="Times New Roman"/>
          <w:sz w:val="24"/>
          <w:szCs w:val="24"/>
        </w:rPr>
        <w:t xml:space="preserve"> the Indian status of the father of her child to the satisfaction of the</w:t>
      </w:r>
      <w:r w:rsidR="00EE26E4" w:rsidRPr="00DB384A">
        <w:rPr>
          <w:rFonts w:ascii="Times New Roman" w:hAnsi="Times New Roman" w:cs="Times New Roman"/>
          <w:sz w:val="24"/>
          <w:szCs w:val="24"/>
        </w:rPr>
        <w:t xml:space="preserve"> Registrar</w:t>
      </w:r>
      <w:r w:rsidRPr="00DB384A">
        <w:rPr>
          <w:rFonts w:ascii="Times New Roman" w:hAnsi="Times New Roman" w:cs="Times New Roman"/>
          <w:sz w:val="24"/>
          <w:szCs w:val="24"/>
        </w:rPr>
        <w:t xml:space="preserve">, the </w:t>
      </w:r>
      <w:r w:rsidR="00011836" w:rsidRPr="00DB384A">
        <w:rPr>
          <w:rFonts w:ascii="Times New Roman" w:hAnsi="Times New Roman" w:cs="Times New Roman"/>
          <w:sz w:val="24"/>
          <w:szCs w:val="24"/>
        </w:rPr>
        <w:t>P</w:t>
      </w:r>
      <w:r w:rsidRPr="00DB384A">
        <w:rPr>
          <w:rFonts w:ascii="Times New Roman" w:hAnsi="Times New Roman" w:cs="Times New Roman"/>
          <w:sz w:val="24"/>
          <w:szCs w:val="24"/>
        </w:rPr>
        <w:t xml:space="preserve">olicy provides that the mother’s Indian status </w:t>
      </w:r>
      <w:r w:rsidR="00B13BD8" w:rsidRPr="00DB384A">
        <w:rPr>
          <w:rFonts w:ascii="Times New Roman" w:hAnsi="Times New Roman" w:cs="Times New Roman"/>
          <w:sz w:val="24"/>
          <w:szCs w:val="24"/>
        </w:rPr>
        <w:t xml:space="preserve">alone </w:t>
      </w:r>
      <w:r w:rsidRPr="00DB384A">
        <w:rPr>
          <w:rFonts w:ascii="Times New Roman" w:hAnsi="Times New Roman" w:cs="Times New Roman"/>
          <w:sz w:val="24"/>
          <w:szCs w:val="24"/>
        </w:rPr>
        <w:t xml:space="preserve">will be relied on to register the child. </w:t>
      </w:r>
      <w:r w:rsidR="00D672C7">
        <w:rPr>
          <w:rFonts w:ascii="Times New Roman" w:hAnsi="Times New Roman" w:cs="Times New Roman"/>
          <w:sz w:val="24"/>
          <w:szCs w:val="24"/>
        </w:rPr>
        <w:t xml:space="preserve">This means that the other parent </w:t>
      </w:r>
      <w:proofErr w:type="gramStart"/>
      <w:r w:rsidR="00D672C7">
        <w:rPr>
          <w:rFonts w:ascii="Times New Roman" w:hAnsi="Times New Roman" w:cs="Times New Roman"/>
          <w:sz w:val="24"/>
          <w:szCs w:val="24"/>
        </w:rPr>
        <w:t>will, by default, be presumed</w:t>
      </w:r>
      <w:proofErr w:type="gramEnd"/>
      <w:r w:rsidR="00D672C7">
        <w:rPr>
          <w:rFonts w:ascii="Times New Roman" w:hAnsi="Times New Roman" w:cs="Times New Roman"/>
          <w:sz w:val="24"/>
          <w:szCs w:val="24"/>
        </w:rPr>
        <w:t xml:space="preserve"> to </w:t>
      </w:r>
      <w:r w:rsidR="00D672C7">
        <w:rPr>
          <w:rFonts w:ascii="Times New Roman" w:hAnsi="Times New Roman" w:cs="Times New Roman"/>
          <w:sz w:val="24"/>
          <w:szCs w:val="24"/>
        </w:rPr>
        <w:lastRenderedPageBreak/>
        <w:t xml:space="preserve">be </w:t>
      </w:r>
      <w:r w:rsidR="00240FBD">
        <w:rPr>
          <w:rFonts w:ascii="Times New Roman" w:hAnsi="Times New Roman" w:cs="Times New Roman"/>
          <w:sz w:val="24"/>
          <w:szCs w:val="24"/>
        </w:rPr>
        <w:t>without status</w:t>
      </w:r>
      <w:r w:rsidR="00D672C7">
        <w:rPr>
          <w:rFonts w:ascii="Times New Roman" w:hAnsi="Times New Roman" w:cs="Times New Roman"/>
          <w:sz w:val="24"/>
          <w:szCs w:val="24"/>
        </w:rPr>
        <w:t>.</w:t>
      </w:r>
      <w:r w:rsidR="00240FBD">
        <w:rPr>
          <w:rFonts w:ascii="Times New Roman" w:hAnsi="Times New Roman" w:cs="Times New Roman"/>
          <w:sz w:val="24"/>
          <w:szCs w:val="24"/>
        </w:rPr>
        <w:t xml:space="preserve"> If the mother</w:t>
      </w:r>
      <w:r w:rsidRPr="00DB384A">
        <w:rPr>
          <w:rFonts w:ascii="Times New Roman" w:hAnsi="Times New Roman" w:cs="Times New Roman"/>
          <w:sz w:val="24"/>
          <w:szCs w:val="24"/>
        </w:rPr>
        <w:t xml:space="preserve"> has status under s. 6(1), </w:t>
      </w:r>
      <w:r w:rsidR="00251F34" w:rsidRPr="00DB384A">
        <w:rPr>
          <w:rFonts w:ascii="Times New Roman" w:hAnsi="Times New Roman" w:cs="Times New Roman"/>
          <w:sz w:val="24"/>
          <w:szCs w:val="24"/>
        </w:rPr>
        <w:t>her child will be e</w:t>
      </w:r>
      <w:r w:rsidR="0039055B">
        <w:rPr>
          <w:rFonts w:ascii="Times New Roman" w:hAnsi="Times New Roman" w:cs="Times New Roman"/>
          <w:sz w:val="24"/>
          <w:szCs w:val="24"/>
        </w:rPr>
        <w:t>ntitled only to s. 6(2) status.</w:t>
      </w:r>
      <w:r w:rsidR="00251F34" w:rsidRPr="00DB384A">
        <w:rPr>
          <w:rFonts w:ascii="Times New Roman" w:hAnsi="Times New Roman" w:cs="Times New Roman"/>
          <w:sz w:val="24"/>
          <w:szCs w:val="24"/>
        </w:rPr>
        <w:t xml:space="preserve"> If she </w:t>
      </w:r>
      <w:proofErr w:type="gramStart"/>
      <w:r w:rsidR="00251F34" w:rsidRPr="00DB384A">
        <w:rPr>
          <w:rFonts w:ascii="Times New Roman" w:hAnsi="Times New Roman" w:cs="Times New Roman"/>
          <w:sz w:val="24"/>
          <w:szCs w:val="24"/>
        </w:rPr>
        <w:t>is registered</w:t>
      </w:r>
      <w:proofErr w:type="gramEnd"/>
      <w:r w:rsidR="00251F34" w:rsidRPr="00DB384A">
        <w:rPr>
          <w:rFonts w:ascii="Times New Roman" w:hAnsi="Times New Roman" w:cs="Times New Roman"/>
          <w:sz w:val="24"/>
          <w:szCs w:val="24"/>
        </w:rPr>
        <w:t xml:space="preserve"> under s. 6(2), her child will have no status at all.</w:t>
      </w:r>
      <w:r w:rsidR="00964166" w:rsidRPr="00DB384A">
        <w:rPr>
          <w:rStyle w:val="FootnoteReference"/>
          <w:rFonts w:ascii="Times New Roman" w:hAnsi="Times New Roman" w:cs="Times New Roman"/>
          <w:sz w:val="24"/>
          <w:szCs w:val="24"/>
        </w:rPr>
        <w:footnoteReference w:id="19"/>
      </w:r>
      <w:r w:rsidR="00251F34" w:rsidRPr="00DB384A">
        <w:rPr>
          <w:rFonts w:ascii="Times New Roman" w:hAnsi="Times New Roman" w:cs="Times New Roman"/>
          <w:sz w:val="24"/>
          <w:szCs w:val="24"/>
        </w:rPr>
        <w:t xml:space="preserve"> </w:t>
      </w:r>
      <w:r w:rsidR="00F10460">
        <w:rPr>
          <w:rFonts w:ascii="Times New Roman" w:hAnsi="Times New Roman" w:cs="Times New Roman"/>
          <w:sz w:val="24"/>
          <w:szCs w:val="24"/>
        </w:rPr>
        <w:t>The Policy</w:t>
      </w:r>
      <w:r w:rsidR="0051355B" w:rsidRPr="008C680B">
        <w:rPr>
          <w:rFonts w:ascii="Times New Roman" w:hAnsi="Times New Roman" w:cs="Times New Roman"/>
          <w:sz w:val="24"/>
          <w:szCs w:val="24"/>
        </w:rPr>
        <w:t xml:space="preserve"> therefore</w:t>
      </w:r>
      <w:r w:rsidR="00BC059D" w:rsidRPr="008C680B">
        <w:rPr>
          <w:rFonts w:ascii="Times New Roman" w:hAnsi="Times New Roman" w:cs="Times New Roman"/>
          <w:sz w:val="24"/>
          <w:szCs w:val="24"/>
        </w:rPr>
        <w:t xml:space="preserve"> removes the presumption of Indian paternity </w:t>
      </w:r>
      <w:r w:rsidR="0070237B">
        <w:rPr>
          <w:rFonts w:ascii="Times New Roman" w:hAnsi="Times New Roman" w:cs="Times New Roman"/>
          <w:sz w:val="24"/>
          <w:szCs w:val="24"/>
        </w:rPr>
        <w:t xml:space="preserve">that operated </w:t>
      </w:r>
      <w:r w:rsidR="00BC059D" w:rsidRPr="008C680B">
        <w:rPr>
          <w:rFonts w:ascii="Times New Roman" w:hAnsi="Times New Roman" w:cs="Times New Roman"/>
          <w:sz w:val="24"/>
          <w:szCs w:val="24"/>
        </w:rPr>
        <w:t>under the</w:t>
      </w:r>
      <w:r w:rsidR="008C680B" w:rsidRPr="008C680B">
        <w:rPr>
          <w:rFonts w:ascii="Times New Roman" w:hAnsi="Times New Roman" w:cs="Times New Roman"/>
          <w:sz w:val="24"/>
          <w:szCs w:val="24"/>
        </w:rPr>
        <w:t xml:space="preserve"> 1951</w:t>
      </w:r>
      <w:r w:rsidR="00BC059D" w:rsidRPr="008C680B">
        <w:rPr>
          <w:rFonts w:ascii="Times New Roman" w:hAnsi="Times New Roman" w:cs="Times New Roman"/>
          <w:sz w:val="24"/>
          <w:szCs w:val="24"/>
        </w:rPr>
        <w:t xml:space="preserve"> </w:t>
      </w:r>
      <w:r w:rsidR="008C680B">
        <w:rPr>
          <w:rFonts w:ascii="Times New Roman" w:hAnsi="Times New Roman" w:cs="Times New Roman"/>
          <w:i/>
          <w:sz w:val="24"/>
          <w:szCs w:val="24"/>
        </w:rPr>
        <w:t>Indian Act</w:t>
      </w:r>
      <w:r w:rsidR="0070237B">
        <w:rPr>
          <w:rFonts w:ascii="Times New Roman" w:hAnsi="Times New Roman" w:cs="Times New Roman"/>
          <w:sz w:val="24"/>
          <w:szCs w:val="24"/>
        </w:rPr>
        <w:t xml:space="preserve"> and imposes a new burden on </w:t>
      </w:r>
      <w:r w:rsidR="0070237B" w:rsidRPr="008C680B">
        <w:rPr>
          <w:rFonts w:ascii="Times New Roman" w:hAnsi="Times New Roman" w:cs="Times New Roman"/>
          <w:sz w:val="24"/>
          <w:szCs w:val="24"/>
        </w:rPr>
        <w:t>Registered Indian women</w:t>
      </w:r>
      <w:r w:rsidR="00BC059D" w:rsidRPr="008C680B">
        <w:rPr>
          <w:rFonts w:ascii="Times New Roman" w:hAnsi="Times New Roman" w:cs="Times New Roman"/>
          <w:sz w:val="24"/>
          <w:szCs w:val="24"/>
        </w:rPr>
        <w:t>.</w:t>
      </w:r>
    </w:p>
    <w:p w:rsidR="00686BFD" w:rsidRPr="00DB384A" w:rsidRDefault="00317016" w:rsidP="009A4E07">
      <w:pPr>
        <w:pStyle w:val="Heading1"/>
        <w:spacing w:before="0" w:after="240"/>
        <w:rPr>
          <w:rFonts w:ascii="Times New Roman" w:hAnsi="Times New Roman" w:cs="Times New Roman"/>
          <w:sz w:val="24"/>
          <w:szCs w:val="24"/>
        </w:rPr>
      </w:pPr>
      <w:r w:rsidRPr="00DB384A">
        <w:rPr>
          <w:rFonts w:ascii="Times New Roman" w:hAnsi="Times New Roman" w:cs="Times New Roman"/>
          <w:sz w:val="24"/>
          <w:szCs w:val="24"/>
        </w:rPr>
        <w:t>P</w:t>
      </w:r>
      <w:r w:rsidR="00B226F3" w:rsidRPr="00DB384A">
        <w:rPr>
          <w:rFonts w:ascii="Times New Roman" w:hAnsi="Times New Roman" w:cs="Times New Roman"/>
          <w:sz w:val="24"/>
          <w:szCs w:val="24"/>
        </w:rPr>
        <w:t>ART</w:t>
      </w:r>
      <w:r w:rsidRPr="00DB384A">
        <w:rPr>
          <w:rFonts w:ascii="Times New Roman" w:hAnsi="Times New Roman" w:cs="Times New Roman"/>
          <w:sz w:val="24"/>
          <w:szCs w:val="24"/>
        </w:rPr>
        <w:t xml:space="preserve"> III</w:t>
      </w:r>
      <w:r w:rsidR="00B72DEB" w:rsidRPr="00DB384A">
        <w:rPr>
          <w:rFonts w:ascii="Times New Roman" w:hAnsi="Times New Roman" w:cs="Times New Roman"/>
          <w:sz w:val="24"/>
          <w:szCs w:val="24"/>
        </w:rPr>
        <w:t xml:space="preserve"> </w:t>
      </w:r>
      <w:r w:rsidR="0086158B" w:rsidRPr="00DB384A">
        <w:rPr>
          <w:rFonts w:ascii="Times New Roman" w:hAnsi="Times New Roman" w:cs="Times New Roman"/>
          <w:sz w:val="24"/>
          <w:szCs w:val="24"/>
        </w:rPr>
        <w:t>- Issue</w:t>
      </w:r>
      <w:r w:rsidR="00E228FC" w:rsidRPr="00DB384A">
        <w:rPr>
          <w:rFonts w:ascii="Times New Roman" w:hAnsi="Times New Roman" w:cs="Times New Roman"/>
          <w:sz w:val="24"/>
          <w:szCs w:val="24"/>
        </w:rPr>
        <w:t>s</w:t>
      </w:r>
      <w:r w:rsidRPr="00DB384A">
        <w:rPr>
          <w:rFonts w:ascii="Times New Roman" w:hAnsi="Times New Roman" w:cs="Times New Roman"/>
          <w:sz w:val="24"/>
          <w:szCs w:val="24"/>
        </w:rPr>
        <w:t xml:space="preserve"> </w:t>
      </w:r>
    </w:p>
    <w:p w:rsidR="00C73275" w:rsidRPr="00DB384A" w:rsidRDefault="00317016" w:rsidP="004251D7">
      <w:pPr>
        <w:pStyle w:val="FactumBodyL1"/>
        <w:spacing w:after="120"/>
        <w:ind w:left="0" w:firstLine="0"/>
        <w:rPr>
          <w:rFonts w:ascii="Times New Roman" w:hAnsi="Times New Roman" w:cs="Times New Roman"/>
          <w:sz w:val="24"/>
          <w:szCs w:val="24"/>
        </w:rPr>
      </w:pPr>
      <w:proofErr w:type="gramStart"/>
      <w:r w:rsidRPr="00DB384A">
        <w:rPr>
          <w:rFonts w:ascii="Times New Roman" w:hAnsi="Times New Roman" w:cs="Times New Roman"/>
          <w:sz w:val="24"/>
          <w:szCs w:val="24"/>
        </w:rPr>
        <w:t>The</w:t>
      </w:r>
      <w:r w:rsidR="00732B6E" w:rsidRPr="00DB384A">
        <w:rPr>
          <w:rFonts w:ascii="Times New Roman" w:hAnsi="Times New Roman" w:cs="Times New Roman"/>
          <w:sz w:val="24"/>
          <w:szCs w:val="24"/>
        </w:rPr>
        <w:t xml:space="preserve"> issu</w:t>
      </w:r>
      <w:r w:rsidR="007C5397" w:rsidRPr="00DB384A">
        <w:rPr>
          <w:rFonts w:ascii="Times New Roman" w:hAnsi="Times New Roman" w:cs="Times New Roman"/>
          <w:sz w:val="24"/>
          <w:szCs w:val="24"/>
        </w:rPr>
        <w:t>e</w:t>
      </w:r>
      <w:r w:rsidR="00EE16F9">
        <w:rPr>
          <w:rFonts w:ascii="Times New Roman" w:hAnsi="Times New Roman" w:cs="Times New Roman"/>
          <w:sz w:val="24"/>
          <w:szCs w:val="24"/>
        </w:rPr>
        <w:t>s</w:t>
      </w:r>
      <w:r w:rsidR="007C5397" w:rsidRPr="00DB384A">
        <w:rPr>
          <w:rFonts w:ascii="Times New Roman" w:hAnsi="Times New Roman" w:cs="Times New Roman"/>
          <w:sz w:val="24"/>
          <w:szCs w:val="24"/>
        </w:rPr>
        <w:t xml:space="preserve"> in this appeal </w:t>
      </w:r>
      <w:r w:rsidR="00EE16F9">
        <w:rPr>
          <w:rFonts w:ascii="Times New Roman" w:hAnsi="Times New Roman" w:cs="Times New Roman"/>
          <w:sz w:val="24"/>
          <w:szCs w:val="24"/>
        </w:rPr>
        <w:t>are</w:t>
      </w:r>
      <w:r w:rsidR="00F10460">
        <w:rPr>
          <w:rFonts w:ascii="Times New Roman" w:hAnsi="Times New Roman" w:cs="Times New Roman"/>
          <w:sz w:val="24"/>
          <w:szCs w:val="24"/>
        </w:rPr>
        <w:t>:</w:t>
      </w:r>
      <w:r w:rsidR="00EE16F9">
        <w:rPr>
          <w:rFonts w:ascii="Times New Roman" w:hAnsi="Times New Roman" w:cs="Times New Roman"/>
          <w:sz w:val="24"/>
          <w:szCs w:val="24"/>
        </w:rPr>
        <w:t xml:space="preserve"> 1)</w:t>
      </w:r>
      <w:r w:rsidR="007C5397" w:rsidRPr="00DB384A">
        <w:rPr>
          <w:rFonts w:ascii="Times New Roman" w:hAnsi="Times New Roman" w:cs="Times New Roman"/>
          <w:sz w:val="24"/>
          <w:szCs w:val="24"/>
        </w:rPr>
        <w:t xml:space="preserve"> whether s. 6 of the </w:t>
      </w:r>
      <w:r w:rsidR="007C5397" w:rsidRPr="00DB384A">
        <w:rPr>
          <w:rFonts w:ascii="Times New Roman" w:hAnsi="Times New Roman" w:cs="Times New Roman"/>
          <w:i/>
          <w:sz w:val="24"/>
          <w:szCs w:val="24"/>
        </w:rPr>
        <w:t>Indian Act,</w:t>
      </w:r>
      <w:r w:rsidR="0036045E" w:rsidRPr="00DB384A">
        <w:rPr>
          <w:rFonts w:ascii="Times New Roman" w:hAnsi="Times New Roman" w:cs="Times New Roman"/>
          <w:sz w:val="24"/>
          <w:szCs w:val="24"/>
        </w:rPr>
        <w:t xml:space="preserve"> RSC 1985, c I-5</w:t>
      </w:r>
      <w:r w:rsidR="00B13BD8" w:rsidRPr="00DB384A">
        <w:rPr>
          <w:rFonts w:ascii="Times New Roman" w:hAnsi="Times New Roman" w:cs="Times New Roman"/>
          <w:sz w:val="24"/>
          <w:szCs w:val="24"/>
        </w:rPr>
        <w:t>,</w:t>
      </w:r>
      <w:r w:rsidR="007C5397" w:rsidRPr="00DB384A">
        <w:rPr>
          <w:rFonts w:ascii="Times New Roman" w:hAnsi="Times New Roman" w:cs="Times New Roman"/>
          <w:sz w:val="24"/>
          <w:szCs w:val="24"/>
        </w:rPr>
        <w:t xml:space="preserve"> </w:t>
      </w:r>
      <w:r w:rsidR="0036045E" w:rsidRPr="00DB384A">
        <w:rPr>
          <w:rFonts w:ascii="Times New Roman" w:hAnsi="Times New Roman" w:cs="Times New Roman"/>
          <w:sz w:val="24"/>
          <w:szCs w:val="24"/>
        </w:rPr>
        <w:t>as implemented by</w:t>
      </w:r>
      <w:r w:rsidR="007C5397" w:rsidRPr="00DB384A">
        <w:rPr>
          <w:rFonts w:ascii="Times New Roman" w:hAnsi="Times New Roman" w:cs="Times New Roman"/>
          <w:sz w:val="24"/>
          <w:szCs w:val="24"/>
        </w:rPr>
        <w:t xml:space="preserve"> the </w:t>
      </w:r>
      <w:r w:rsidR="00011836" w:rsidRPr="00DB384A">
        <w:rPr>
          <w:rFonts w:ascii="Times New Roman" w:hAnsi="Times New Roman" w:cs="Times New Roman"/>
          <w:sz w:val="24"/>
          <w:szCs w:val="24"/>
        </w:rPr>
        <w:t>Policy</w:t>
      </w:r>
      <w:r w:rsidR="007C5397" w:rsidRPr="00DB384A">
        <w:rPr>
          <w:rFonts w:ascii="Times New Roman" w:hAnsi="Times New Roman" w:cs="Times New Roman"/>
          <w:sz w:val="24"/>
          <w:szCs w:val="24"/>
        </w:rPr>
        <w:t xml:space="preserve"> that sets out the evidence required to </w:t>
      </w:r>
      <w:r w:rsidR="00D90AF6">
        <w:rPr>
          <w:rFonts w:ascii="Times New Roman" w:hAnsi="Times New Roman" w:cs="Times New Roman"/>
          <w:sz w:val="24"/>
          <w:szCs w:val="24"/>
        </w:rPr>
        <w:t xml:space="preserve">establish that </w:t>
      </w:r>
      <w:r w:rsidR="00E228FC" w:rsidRPr="00DB384A">
        <w:rPr>
          <w:rFonts w:ascii="Times New Roman" w:hAnsi="Times New Roman" w:cs="Times New Roman"/>
          <w:sz w:val="24"/>
          <w:szCs w:val="24"/>
        </w:rPr>
        <w:t>a chi</w:t>
      </w:r>
      <w:r w:rsidR="0036045E" w:rsidRPr="00DB384A">
        <w:rPr>
          <w:rFonts w:ascii="Times New Roman" w:hAnsi="Times New Roman" w:cs="Times New Roman"/>
          <w:sz w:val="24"/>
          <w:szCs w:val="24"/>
        </w:rPr>
        <w:t>ld is entitled to Indian status</w:t>
      </w:r>
      <w:r w:rsidR="00B13BD8" w:rsidRPr="00DB384A">
        <w:rPr>
          <w:rFonts w:ascii="Times New Roman" w:hAnsi="Times New Roman" w:cs="Times New Roman"/>
          <w:sz w:val="24"/>
          <w:szCs w:val="24"/>
        </w:rPr>
        <w:t>,</w:t>
      </w:r>
      <w:r w:rsidR="00590F34" w:rsidRPr="00DB384A">
        <w:rPr>
          <w:rFonts w:ascii="Times New Roman" w:hAnsi="Times New Roman" w:cs="Times New Roman"/>
          <w:sz w:val="24"/>
          <w:szCs w:val="24"/>
        </w:rPr>
        <w:t xml:space="preserve"> </w:t>
      </w:r>
      <w:r w:rsidR="0071709E" w:rsidRPr="00DB384A">
        <w:rPr>
          <w:rFonts w:ascii="Times New Roman" w:hAnsi="Times New Roman" w:cs="Times New Roman"/>
          <w:sz w:val="24"/>
          <w:szCs w:val="24"/>
        </w:rPr>
        <w:t>discriminates</w:t>
      </w:r>
      <w:r w:rsidR="0086158B" w:rsidRPr="00DB384A">
        <w:rPr>
          <w:rFonts w:ascii="Times New Roman" w:hAnsi="Times New Roman" w:cs="Times New Roman"/>
          <w:sz w:val="24"/>
          <w:szCs w:val="24"/>
        </w:rPr>
        <w:t xml:space="preserve"> against Indigenous women</w:t>
      </w:r>
      <w:r w:rsidR="00E228FC" w:rsidRPr="00DB384A">
        <w:rPr>
          <w:rFonts w:ascii="Times New Roman" w:hAnsi="Times New Roman" w:cs="Times New Roman"/>
          <w:sz w:val="24"/>
          <w:szCs w:val="24"/>
        </w:rPr>
        <w:t xml:space="preserve"> </w:t>
      </w:r>
      <w:r w:rsidR="0086158B" w:rsidRPr="00DB384A">
        <w:rPr>
          <w:rFonts w:ascii="Times New Roman" w:hAnsi="Times New Roman" w:cs="Times New Roman"/>
          <w:sz w:val="24"/>
          <w:szCs w:val="24"/>
        </w:rPr>
        <w:t xml:space="preserve">in contravention of s. 15(1) of the </w:t>
      </w:r>
      <w:r w:rsidR="0086158B" w:rsidRPr="00DB384A">
        <w:rPr>
          <w:rFonts w:ascii="Times New Roman" w:hAnsi="Times New Roman" w:cs="Times New Roman"/>
          <w:i/>
          <w:sz w:val="24"/>
          <w:szCs w:val="24"/>
        </w:rPr>
        <w:t>Charter</w:t>
      </w:r>
      <w:r w:rsidR="00EE16F9">
        <w:rPr>
          <w:rFonts w:ascii="Times New Roman" w:hAnsi="Times New Roman" w:cs="Times New Roman"/>
          <w:sz w:val="24"/>
          <w:szCs w:val="24"/>
        </w:rPr>
        <w:t xml:space="preserve">; and 2) if so, </w:t>
      </w:r>
      <w:r w:rsidR="00724F9A">
        <w:rPr>
          <w:rFonts w:ascii="Times New Roman" w:hAnsi="Times New Roman" w:cs="Times New Roman"/>
          <w:sz w:val="24"/>
          <w:szCs w:val="24"/>
        </w:rPr>
        <w:t>the</w:t>
      </w:r>
      <w:r w:rsidR="00F10460">
        <w:rPr>
          <w:rFonts w:ascii="Times New Roman" w:hAnsi="Times New Roman" w:cs="Times New Roman"/>
          <w:sz w:val="24"/>
          <w:szCs w:val="24"/>
        </w:rPr>
        <w:t xml:space="preserve"> appropriate remedy for this discrimination</w:t>
      </w:r>
      <w:r w:rsidR="00EE16F9">
        <w:rPr>
          <w:rFonts w:ascii="Times New Roman" w:hAnsi="Times New Roman" w:cs="Times New Roman"/>
          <w:sz w:val="24"/>
          <w:szCs w:val="24"/>
        </w:rPr>
        <w:t>.</w:t>
      </w:r>
      <w:proofErr w:type="gramEnd"/>
      <w:r w:rsidR="0086158B" w:rsidRPr="00DB384A">
        <w:rPr>
          <w:rFonts w:ascii="Times New Roman" w:hAnsi="Times New Roman" w:cs="Times New Roman"/>
          <w:i/>
          <w:sz w:val="24"/>
          <w:szCs w:val="24"/>
        </w:rPr>
        <w:t xml:space="preserve"> </w:t>
      </w:r>
    </w:p>
    <w:p w:rsidR="00C73275" w:rsidRPr="00DB384A" w:rsidRDefault="00C73275" w:rsidP="009A4E07">
      <w:pPr>
        <w:pStyle w:val="Heading1"/>
        <w:spacing w:before="0" w:after="240"/>
        <w:rPr>
          <w:rFonts w:ascii="Times New Roman" w:hAnsi="Times New Roman" w:cs="Times New Roman"/>
          <w:sz w:val="24"/>
          <w:szCs w:val="24"/>
        </w:rPr>
      </w:pPr>
      <w:r w:rsidRPr="00DB384A">
        <w:rPr>
          <w:rFonts w:ascii="Times New Roman" w:hAnsi="Times New Roman" w:cs="Times New Roman"/>
          <w:sz w:val="24"/>
          <w:szCs w:val="24"/>
        </w:rPr>
        <w:t>PART IV - A</w:t>
      </w:r>
      <w:r w:rsidR="003E2073" w:rsidRPr="00DB384A">
        <w:rPr>
          <w:rFonts w:ascii="Times New Roman" w:hAnsi="Times New Roman" w:cs="Times New Roman"/>
          <w:sz w:val="24"/>
          <w:szCs w:val="24"/>
        </w:rPr>
        <w:t>rgument</w:t>
      </w:r>
    </w:p>
    <w:p w:rsidR="004E512C" w:rsidRPr="00F10460" w:rsidRDefault="00F40A23" w:rsidP="009A4E07">
      <w:pPr>
        <w:pStyle w:val="FactumHeadingL2"/>
        <w:spacing w:after="240"/>
        <w:rPr>
          <w:rFonts w:ascii="Times New Roman" w:hAnsi="Times New Roman" w:cs="Times New Roman"/>
          <w:i/>
          <w:sz w:val="24"/>
          <w:szCs w:val="24"/>
        </w:rPr>
      </w:pPr>
      <w:r w:rsidRPr="00F10460">
        <w:rPr>
          <w:rFonts w:ascii="Times New Roman" w:hAnsi="Times New Roman" w:cs="Times New Roman"/>
          <w:sz w:val="24"/>
          <w:szCs w:val="24"/>
        </w:rPr>
        <w:t xml:space="preserve">A </w:t>
      </w:r>
      <w:r w:rsidR="00D015D3" w:rsidRPr="00F10460">
        <w:rPr>
          <w:rFonts w:ascii="Times New Roman" w:hAnsi="Times New Roman" w:cs="Times New Roman"/>
          <w:sz w:val="24"/>
          <w:szCs w:val="24"/>
        </w:rPr>
        <w:t>s</w:t>
      </w:r>
      <w:r w:rsidR="00DC0C55" w:rsidRPr="00F10460">
        <w:rPr>
          <w:rFonts w:ascii="Times New Roman" w:hAnsi="Times New Roman" w:cs="Times New Roman"/>
          <w:sz w:val="24"/>
          <w:szCs w:val="24"/>
        </w:rPr>
        <w:t xml:space="preserve">ubstantive equality </w:t>
      </w:r>
      <w:r w:rsidRPr="00F10460">
        <w:rPr>
          <w:rFonts w:ascii="Times New Roman" w:hAnsi="Times New Roman" w:cs="Times New Roman"/>
          <w:sz w:val="24"/>
          <w:szCs w:val="24"/>
        </w:rPr>
        <w:t>approach to</w:t>
      </w:r>
      <w:r w:rsidR="00A920D2" w:rsidRPr="00F10460">
        <w:rPr>
          <w:rFonts w:ascii="Times New Roman" w:hAnsi="Times New Roman" w:cs="Times New Roman"/>
          <w:sz w:val="24"/>
          <w:szCs w:val="24"/>
        </w:rPr>
        <w:t xml:space="preserve"> </w:t>
      </w:r>
      <w:r w:rsidR="0055448A" w:rsidRPr="00F10460">
        <w:rPr>
          <w:rFonts w:ascii="Times New Roman" w:hAnsi="Times New Roman" w:cs="Times New Roman"/>
          <w:sz w:val="24"/>
          <w:szCs w:val="24"/>
        </w:rPr>
        <w:t>s. 15(1) of the</w:t>
      </w:r>
      <w:r w:rsidR="00A920D2" w:rsidRPr="00F10460">
        <w:rPr>
          <w:rFonts w:ascii="Times New Roman" w:hAnsi="Times New Roman" w:cs="Times New Roman"/>
          <w:sz w:val="24"/>
          <w:szCs w:val="24"/>
        </w:rPr>
        <w:t xml:space="preserve"> </w:t>
      </w:r>
      <w:r w:rsidR="00A920D2" w:rsidRPr="00F10460">
        <w:rPr>
          <w:rFonts w:ascii="Times New Roman" w:hAnsi="Times New Roman" w:cs="Times New Roman"/>
          <w:i/>
          <w:sz w:val="24"/>
          <w:szCs w:val="24"/>
        </w:rPr>
        <w:t>Charter</w:t>
      </w:r>
    </w:p>
    <w:p w:rsidR="00A920D2" w:rsidRPr="00DB384A" w:rsidRDefault="00726396"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S</w:t>
      </w:r>
      <w:r w:rsidR="00011836" w:rsidRPr="00DB384A">
        <w:rPr>
          <w:rFonts w:ascii="Times New Roman" w:hAnsi="Times New Roman" w:cs="Times New Roman"/>
          <w:sz w:val="24"/>
          <w:szCs w:val="24"/>
        </w:rPr>
        <w:t xml:space="preserve">ection 15(1) </w:t>
      </w:r>
      <w:r w:rsidRPr="00DB384A">
        <w:rPr>
          <w:rFonts w:ascii="Times New Roman" w:hAnsi="Times New Roman" w:cs="Times New Roman"/>
          <w:sz w:val="24"/>
          <w:szCs w:val="24"/>
        </w:rPr>
        <w:t xml:space="preserve">requires </w:t>
      </w:r>
      <w:r w:rsidR="0062566E" w:rsidRPr="00DB384A">
        <w:rPr>
          <w:rFonts w:ascii="Times New Roman" w:hAnsi="Times New Roman" w:cs="Times New Roman"/>
          <w:sz w:val="24"/>
          <w:szCs w:val="24"/>
        </w:rPr>
        <w:t>a “flexible and contextual inquiry into whether a distinction has the effect of perpetuating arbitrary disadvantage on the claimant because of his or her membership in an enumerated or analogous group.”</w:t>
      </w:r>
      <w:r w:rsidR="0062566E" w:rsidRPr="00DB384A">
        <w:rPr>
          <w:rStyle w:val="FootnoteReference"/>
          <w:rFonts w:ascii="Times New Roman" w:hAnsi="Times New Roman" w:cs="Times New Roman"/>
          <w:sz w:val="24"/>
          <w:szCs w:val="24"/>
        </w:rPr>
        <w:footnoteReference w:id="20"/>
      </w:r>
      <w:r w:rsidR="0055448A" w:rsidRPr="00DB384A">
        <w:rPr>
          <w:rFonts w:ascii="Times New Roman" w:hAnsi="Times New Roman" w:cs="Times New Roman"/>
          <w:sz w:val="24"/>
          <w:szCs w:val="24"/>
        </w:rPr>
        <w:t xml:space="preserve"> </w:t>
      </w:r>
      <w:r w:rsidR="00011836" w:rsidRPr="00DB384A">
        <w:rPr>
          <w:rFonts w:ascii="Times New Roman" w:hAnsi="Times New Roman" w:cs="Times New Roman"/>
          <w:sz w:val="24"/>
          <w:szCs w:val="24"/>
        </w:rPr>
        <w:t>It</w:t>
      </w:r>
      <w:r w:rsidR="009178F3" w:rsidRPr="00DB384A">
        <w:rPr>
          <w:rFonts w:ascii="Times New Roman" w:hAnsi="Times New Roman" w:cs="Times New Roman"/>
          <w:sz w:val="24"/>
          <w:szCs w:val="24"/>
        </w:rPr>
        <w:t xml:space="preserve"> proceeds in two parts.</w:t>
      </w:r>
      <w:r w:rsidR="0055448A" w:rsidRPr="00DB384A">
        <w:rPr>
          <w:rFonts w:ascii="Times New Roman" w:hAnsi="Times New Roman" w:cs="Times New Roman"/>
          <w:sz w:val="24"/>
          <w:szCs w:val="24"/>
        </w:rPr>
        <w:t xml:space="preserve"> </w:t>
      </w:r>
      <w:r w:rsidR="001A5A9A" w:rsidRPr="00DB384A">
        <w:rPr>
          <w:rFonts w:ascii="Times New Roman" w:hAnsi="Times New Roman" w:cs="Times New Roman"/>
          <w:sz w:val="24"/>
          <w:szCs w:val="24"/>
        </w:rPr>
        <w:t xml:space="preserve">At the first stage, </w:t>
      </w:r>
      <w:r w:rsidR="0055448A" w:rsidRPr="00DB384A">
        <w:rPr>
          <w:rFonts w:ascii="Times New Roman" w:hAnsi="Times New Roman" w:cs="Times New Roman"/>
          <w:sz w:val="24"/>
          <w:szCs w:val="24"/>
        </w:rPr>
        <w:t xml:space="preserve">the question is whether, “on its face or in its impact, a law creates a distinction based on </w:t>
      </w:r>
      <w:r w:rsidR="001A5A9A" w:rsidRPr="00DB384A">
        <w:rPr>
          <w:rFonts w:ascii="Times New Roman" w:hAnsi="Times New Roman" w:cs="Times New Roman"/>
          <w:sz w:val="24"/>
          <w:szCs w:val="24"/>
        </w:rPr>
        <w:t>an enumerated or analogous ground.”</w:t>
      </w:r>
      <w:r w:rsidR="001A5A9A" w:rsidRPr="00DB384A">
        <w:rPr>
          <w:rStyle w:val="FootnoteReference"/>
          <w:rFonts w:ascii="Times New Roman" w:hAnsi="Times New Roman" w:cs="Times New Roman"/>
          <w:sz w:val="24"/>
          <w:szCs w:val="24"/>
        </w:rPr>
        <w:footnoteReference w:id="21"/>
      </w:r>
      <w:r w:rsidR="001A5A9A" w:rsidRPr="00DB384A">
        <w:rPr>
          <w:rFonts w:ascii="Times New Roman" w:hAnsi="Times New Roman" w:cs="Times New Roman"/>
          <w:sz w:val="24"/>
          <w:szCs w:val="24"/>
        </w:rPr>
        <w:t xml:space="preserve"> At the second</w:t>
      </w:r>
      <w:r w:rsidR="008E6756" w:rsidRPr="00DB384A">
        <w:rPr>
          <w:rFonts w:ascii="Times New Roman" w:hAnsi="Times New Roman" w:cs="Times New Roman"/>
          <w:sz w:val="24"/>
          <w:szCs w:val="24"/>
        </w:rPr>
        <w:t xml:space="preserve"> stage</w:t>
      </w:r>
      <w:r w:rsidR="001A5A9A" w:rsidRPr="00DB384A">
        <w:rPr>
          <w:rFonts w:ascii="Times New Roman" w:hAnsi="Times New Roman" w:cs="Times New Roman"/>
          <w:sz w:val="24"/>
          <w:szCs w:val="24"/>
        </w:rPr>
        <w:t>, the focus is on “whether the impugned law fails to respond to the actual capacities and needs of the members of the group and instead imposes burdens or denies a benefit in a manner that has the effect of reinforcing, perpetuating or exacerbating their disadvantage.”</w:t>
      </w:r>
      <w:r w:rsidR="001A5A9A" w:rsidRPr="00DB384A">
        <w:rPr>
          <w:rStyle w:val="FootnoteReference"/>
          <w:rFonts w:ascii="Times New Roman" w:hAnsi="Times New Roman" w:cs="Times New Roman"/>
          <w:sz w:val="24"/>
          <w:szCs w:val="24"/>
        </w:rPr>
        <w:footnoteReference w:id="22"/>
      </w:r>
      <w:r w:rsidRPr="00DB384A">
        <w:rPr>
          <w:rFonts w:ascii="Times New Roman" w:hAnsi="Times New Roman" w:cs="Times New Roman"/>
          <w:sz w:val="24"/>
          <w:szCs w:val="24"/>
        </w:rPr>
        <w:t xml:space="preserve"> </w:t>
      </w:r>
    </w:p>
    <w:p w:rsidR="00524370" w:rsidRPr="00DB384A" w:rsidRDefault="00361A83" w:rsidP="00540E63">
      <w:pPr>
        <w:pStyle w:val="FactumBodyL1"/>
        <w:spacing w:after="0"/>
        <w:ind w:left="0" w:firstLine="0"/>
        <w:rPr>
          <w:rFonts w:ascii="Times New Roman" w:hAnsi="Times New Roman" w:cs="Times New Roman"/>
          <w:sz w:val="24"/>
          <w:szCs w:val="24"/>
        </w:rPr>
      </w:pPr>
      <w:r w:rsidRPr="00DB384A">
        <w:rPr>
          <w:rFonts w:ascii="Times New Roman" w:hAnsi="Times New Roman" w:cs="Times New Roman"/>
          <w:sz w:val="24"/>
          <w:szCs w:val="24"/>
        </w:rPr>
        <w:lastRenderedPageBreak/>
        <w:t>Throughout the analysis, the focus is on</w:t>
      </w:r>
      <w:r w:rsidR="00AB62F9" w:rsidRPr="00DB384A">
        <w:rPr>
          <w:rFonts w:ascii="Times New Roman" w:hAnsi="Times New Roman" w:cs="Times New Roman"/>
          <w:sz w:val="24"/>
          <w:szCs w:val="24"/>
        </w:rPr>
        <w:t xml:space="preserve"> whether the impugned law or policy undermines</w:t>
      </w:r>
      <w:r w:rsidRPr="00DB384A">
        <w:rPr>
          <w:rFonts w:ascii="Times New Roman" w:hAnsi="Times New Roman" w:cs="Times New Roman"/>
          <w:sz w:val="24"/>
          <w:szCs w:val="24"/>
        </w:rPr>
        <w:t xml:space="preserve"> </w:t>
      </w:r>
      <w:r w:rsidRPr="00DB384A">
        <w:rPr>
          <w:rFonts w:ascii="Times New Roman" w:hAnsi="Times New Roman" w:cs="Times New Roman"/>
          <w:i/>
          <w:sz w:val="24"/>
          <w:szCs w:val="24"/>
        </w:rPr>
        <w:t xml:space="preserve">substantive </w:t>
      </w:r>
      <w:r w:rsidRPr="00DB384A">
        <w:rPr>
          <w:rFonts w:ascii="Times New Roman" w:hAnsi="Times New Roman" w:cs="Times New Roman"/>
          <w:sz w:val="24"/>
          <w:szCs w:val="24"/>
        </w:rPr>
        <w:t>equality</w:t>
      </w:r>
      <w:r w:rsidR="001A76B9" w:rsidRPr="00DB384A">
        <w:rPr>
          <w:rFonts w:ascii="Times New Roman" w:hAnsi="Times New Roman" w:cs="Times New Roman"/>
          <w:sz w:val="24"/>
          <w:szCs w:val="24"/>
        </w:rPr>
        <w:t>.</w:t>
      </w:r>
      <w:r w:rsidR="000E2F43" w:rsidRPr="00DB384A">
        <w:rPr>
          <w:rStyle w:val="FootnoteReference"/>
          <w:rFonts w:ascii="Times New Roman" w:hAnsi="Times New Roman" w:cs="Times New Roman"/>
          <w:sz w:val="24"/>
          <w:szCs w:val="24"/>
        </w:rPr>
        <w:footnoteReference w:id="23"/>
      </w:r>
      <w:r w:rsidR="001A76B9" w:rsidRPr="00DB384A">
        <w:rPr>
          <w:rFonts w:ascii="Times New Roman" w:hAnsi="Times New Roman" w:cs="Times New Roman"/>
          <w:sz w:val="24"/>
          <w:szCs w:val="24"/>
        </w:rPr>
        <w:t xml:space="preserve"> </w:t>
      </w:r>
      <w:r w:rsidR="002C4864" w:rsidRPr="00DB384A">
        <w:rPr>
          <w:rFonts w:ascii="Times New Roman" w:hAnsi="Times New Roman" w:cs="Times New Roman"/>
          <w:sz w:val="24"/>
          <w:szCs w:val="24"/>
        </w:rPr>
        <w:t xml:space="preserve">As the Supreme Court </w:t>
      </w:r>
      <w:r w:rsidR="00622B8D" w:rsidRPr="00DB384A">
        <w:rPr>
          <w:rFonts w:ascii="Times New Roman" w:hAnsi="Times New Roman" w:cs="Times New Roman"/>
          <w:sz w:val="24"/>
          <w:szCs w:val="24"/>
        </w:rPr>
        <w:t xml:space="preserve">recently </w:t>
      </w:r>
      <w:r w:rsidR="002C4864" w:rsidRPr="00DB384A">
        <w:rPr>
          <w:rFonts w:ascii="Times New Roman" w:hAnsi="Times New Roman" w:cs="Times New Roman"/>
          <w:sz w:val="24"/>
          <w:szCs w:val="24"/>
        </w:rPr>
        <w:t xml:space="preserve">explained in </w:t>
      </w:r>
      <w:r w:rsidR="002C4864" w:rsidRPr="00DB384A">
        <w:rPr>
          <w:rFonts w:ascii="Times New Roman" w:hAnsi="Times New Roman" w:cs="Times New Roman"/>
          <w:i/>
          <w:sz w:val="24"/>
          <w:szCs w:val="24"/>
        </w:rPr>
        <w:t>Kahkewistahaw First Nation v Taypotat</w:t>
      </w:r>
      <w:r w:rsidR="002C4864" w:rsidRPr="00DB384A">
        <w:rPr>
          <w:rFonts w:ascii="Times New Roman" w:hAnsi="Times New Roman" w:cs="Times New Roman"/>
          <w:sz w:val="24"/>
          <w:szCs w:val="24"/>
        </w:rPr>
        <w:t>, a substantive equality approach</w:t>
      </w:r>
      <w:r w:rsidR="002C4864" w:rsidRPr="00DB384A">
        <w:rPr>
          <w:rFonts w:ascii="Times New Roman" w:hAnsi="Times New Roman" w:cs="Times New Roman"/>
        </w:rPr>
        <w:t xml:space="preserve"> </w:t>
      </w:r>
      <w:r w:rsidR="002C4864" w:rsidRPr="00DB384A">
        <w:rPr>
          <w:rFonts w:ascii="Times New Roman" w:hAnsi="Times New Roman" w:cs="Times New Roman"/>
          <w:sz w:val="24"/>
          <w:szCs w:val="24"/>
        </w:rPr>
        <w:t>“recognizes that persistent systemic disadvantages have operated to limit the opportunities available to members of certain groups in society and seeks to prevent conduct that perpetuates those disadvantages.”</w:t>
      </w:r>
      <w:r w:rsidR="002C4864" w:rsidRPr="00DB384A">
        <w:rPr>
          <w:rStyle w:val="FootnoteReference"/>
          <w:rFonts w:ascii="Times New Roman" w:hAnsi="Times New Roman" w:cs="Times New Roman"/>
          <w:sz w:val="24"/>
          <w:szCs w:val="24"/>
        </w:rPr>
        <w:footnoteReference w:id="24"/>
      </w:r>
      <w:r w:rsidR="002C4864" w:rsidRPr="00DB384A">
        <w:rPr>
          <w:rFonts w:ascii="Times New Roman" w:hAnsi="Times New Roman" w:cs="Times New Roman"/>
          <w:sz w:val="24"/>
          <w:szCs w:val="24"/>
        </w:rPr>
        <w:t xml:space="preserve"> </w:t>
      </w:r>
      <w:r w:rsidR="00524370" w:rsidRPr="00DB384A">
        <w:rPr>
          <w:rFonts w:ascii="Times New Roman" w:hAnsi="Times New Roman" w:cs="Times New Roman"/>
          <w:sz w:val="24"/>
          <w:szCs w:val="24"/>
        </w:rPr>
        <w:t xml:space="preserve">This analysis requires close attention to the larger social, political and legal context in which the impugned law or policy operates: </w:t>
      </w:r>
    </w:p>
    <w:p w:rsidR="00524370" w:rsidRPr="00DB384A" w:rsidRDefault="00524370" w:rsidP="0066567D">
      <w:pPr>
        <w:pStyle w:val="Block1"/>
        <w:spacing w:after="120" w:line="240" w:lineRule="auto"/>
        <w:jc w:val="both"/>
        <w:rPr>
          <w:sz w:val="24"/>
          <w:szCs w:val="24"/>
        </w:rPr>
      </w:pPr>
      <w:r w:rsidRPr="00DB384A">
        <w:rPr>
          <w:sz w:val="24"/>
          <w:szCs w:val="24"/>
        </w:rPr>
        <w:t xml:space="preserve">It is only by examining the larger context that a court can determine whether differential treatment results in inequality or whether, contrariwise, it would be identical </w:t>
      </w:r>
      <w:proofErr w:type="gramStart"/>
      <w:r w:rsidRPr="00DB384A">
        <w:rPr>
          <w:sz w:val="24"/>
          <w:szCs w:val="24"/>
        </w:rPr>
        <w:t>treatment which</w:t>
      </w:r>
      <w:proofErr w:type="gramEnd"/>
      <w:r w:rsidRPr="00DB384A">
        <w:rPr>
          <w:sz w:val="24"/>
          <w:szCs w:val="24"/>
        </w:rPr>
        <w:t xml:space="preserve"> would in the particular context result in inequality or foster discrimination…</w:t>
      </w:r>
    </w:p>
    <w:p w:rsidR="005424A6" w:rsidRPr="00DB384A" w:rsidRDefault="00524370" w:rsidP="0066567D">
      <w:pPr>
        <w:pStyle w:val="Block1"/>
        <w:spacing w:after="120" w:line="240" w:lineRule="auto"/>
        <w:jc w:val="both"/>
        <w:rPr>
          <w:sz w:val="24"/>
          <w:szCs w:val="24"/>
        </w:rPr>
      </w:pPr>
      <w:r w:rsidRPr="00DB384A">
        <w:rPr>
          <w:sz w:val="24"/>
          <w:szCs w:val="24"/>
        </w:rPr>
        <w:t xml:space="preserve">If the larger context </w:t>
      </w:r>
      <w:proofErr w:type="gramStart"/>
      <w:r w:rsidRPr="00DB384A">
        <w:rPr>
          <w:sz w:val="24"/>
          <w:szCs w:val="24"/>
        </w:rPr>
        <w:t>is not examined</w:t>
      </w:r>
      <w:proofErr w:type="gramEnd"/>
      <w:r w:rsidRPr="00DB384A">
        <w:rPr>
          <w:sz w:val="24"/>
          <w:szCs w:val="24"/>
        </w:rPr>
        <w:t>, the s. 15 analysis may become a mechanical and sterile categorization process conducted entirely within the four corners of the impugned legislation.</w:t>
      </w:r>
      <w:r w:rsidRPr="00DB384A">
        <w:rPr>
          <w:rStyle w:val="FootnoteReference"/>
          <w:rFonts w:ascii="Times New Roman" w:hAnsi="Times New Roman" w:cs="Times New Roman"/>
          <w:sz w:val="24"/>
          <w:szCs w:val="24"/>
        </w:rPr>
        <w:footnoteReference w:id="25"/>
      </w:r>
    </w:p>
    <w:p w:rsidR="00C26141" w:rsidRPr="00DB384A" w:rsidRDefault="003C1916" w:rsidP="004251D7">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A</w:t>
      </w:r>
      <w:r w:rsidR="001A76B9" w:rsidRPr="00DB384A">
        <w:rPr>
          <w:rFonts w:ascii="Times New Roman" w:hAnsi="Times New Roman" w:cs="Times New Roman"/>
          <w:sz w:val="24"/>
          <w:szCs w:val="24"/>
        </w:rPr>
        <w:t xml:space="preserve"> substantive equality approach</w:t>
      </w:r>
      <w:r w:rsidR="00B76781" w:rsidRPr="00DB384A">
        <w:rPr>
          <w:rFonts w:ascii="Times New Roman" w:hAnsi="Times New Roman" w:cs="Times New Roman"/>
          <w:sz w:val="24"/>
          <w:szCs w:val="24"/>
        </w:rPr>
        <w:t xml:space="preserve"> to s. 15(1)</w:t>
      </w:r>
      <w:r w:rsidR="00C540F4">
        <w:rPr>
          <w:rFonts w:ascii="Times New Roman" w:hAnsi="Times New Roman" w:cs="Times New Roman"/>
          <w:sz w:val="24"/>
          <w:szCs w:val="24"/>
        </w:rPr>
        <w:t xml:space="preserve"> in this case</w:t>
      </w:r>
      <w:r w:rsidR="001A76B9" w:rsidRPr="00DB384A">
        <w:rPr>
          <w:rFonts w:ascii="Times New Roman" w:hAnsi="Times New Roman" w:cs="Times New Roman"/>
          <w:sz w:val="24"/>
          <w:szCs w:val="24"/>
        </w:rPr>
        <w:t xml:space="preserve"> </w:t>
      </w:r>
      <w:r w:rsidR="00E25283" w:rsidRPr="00DB384A">
        <w:rPr>
          <w:rFonts w:ascii="Times New Roman" w:hAnsi="Times New Roman" w:cs="Times New Roman"/>
          <w:sz w:val="24"/>
          <w:szCs w:val="24"/>
        </w:rPr>
        <w:t>rests on three key principles</w:t>
      </w:r>
      <w:r w:rsidR="00726396" w:rsidRPr="00DB384A">
        <w:rPr>
          <w:rFonts w:ascii="Times New Roman" w:hAnsi="Times New Roman" w:cs="Times New Roman"/>
          <w:sz w:val="24"/>
          <w:szCs w:val="24"/>
        </w:rPr>
        <w:t>.</w:t>
      </w:r>
      <w:r w:rsidR="00592577" w:rsidRPr="00DB384A">
        <w:rPr>
          <w:rFonts w:ascii="Times New Roman" w:hAnsi="Times New Roman" w:cs="Times New Roman"/>
          <w:sz w:val="24"/>
          <w:szCs w:val="24"/>
        </w:rPr>
        <w:t xml:space="preserve"> First</w:t>
      </w:r>
      <w:r w:rsidR="00FC363E">
        <w:rPr>
          <w:rFonts w:ascii="Times New Roman" w:hAnsi="Times New Roman" w:cs="Times New Roman"/>
          <w:sz w:val="24"/>
          <w:szCs w:val="24"/>
        </w:rPr>
        <w:t>,</w:t>
      </w:r>
      <w:r w:rsidR="00CA384A" w:rsidRPr="00DB384A">
        <w:rPr>
          <w:rFonts w:ascii="Times New Roman" w:hAnsi="Times New Roman" w:cs="Times New Roman"/>
          <w:sz w:val="24"/>
          <w:szCs w:val="24"/>
        </w:rPr>
        <w:t xml:space="preserve"> a </w:t>
      </w:r>
      <w:r w:rsidR="001A76B9" w:rsidRPr="00DB384A">
        <w:rPr>
          <w:rFonts w:ascii="Times New Roman" w:hAnsi="Times New Roman" w:cs="Times New Roman"/>
          <w:sz w:val="24"/>
          <w:szCs w:val="24"/>
        </w:rPr>
        <w:t>distinction</w:t>
      </w:r>
      <w:r w:rsidR="006C4D59">
        <w:rPr>
          <w:rFonts w:ascii="Times New Roman" w:hAnsi="Times New Roman" w:cs="Times New Roman"/>
          <w:sz w:val="24"/>
          <w:szCs w:val="24"/>
        </w:rPr>
        <w:t xml:space="preserve"> based on unstated or unknown paternity is necessarily </w:t>
      </w:r>
      <w:r w:rsidR="0070237B">
        <w:rPr>
          <w:rFonts w:ascii="Times New Roman" w:hAnsi="Times New Roman" w:cs="Times New Roman"/>
          <w:sz w:val="24"/>
          <w:szCs w:val="24"/>
        </w:rPr>
        <w:t>a distinction based on sex.</w:t>
      </w:r>
      <w:r>
        <w:rPr>
          <w:rFonts w:ascii="Times New Roman" w:hAnsi="Times New Roman" w:cs="Times New Roman"/>
          <w:sz w:val="24"/>
          <w:szCs w:val="24"/>
        </w:rPr>
        <w:t xml:space="preserve"> To conclude otherwise is to ignore the fundamental realities of child bearing, an</w:t>
      </w:r>
      <w:r w:rsidR="004A51A5">
        <w:rPr>
          <w:rFonts w:ascii="Times New Roman" w:hAnsi="Times New Roman" w:cs="Times New Roman"/>
          <w:sz w:val="24"/>
          <w:szCs w:val="24"/>
        </w:rPr>
        <w:t xml:space="preserve">d the process by which paternity </w:t>
      </w:r>
      <w:proofErr w:type="gramStart"/>
      <w:r w:rsidR="004A51A5">
        <w:rPr>
          <w:rFonts w:ascii="Times New Roman" w:hAnsi="Times New Roman" w:cs="Times New Roman"/>
          <w:sz w:val="24"/>
          <w:szCs w:val="24"/>
        </w:rPr>
        <w:t>is proven</w:t>
      </w:r>
      <w:proofErr w:type="gramEnd"/>
      <w:r w:rsidR="004A51A5">
        <w:rPr>
          <w:rFonts w:ascii="Times New Roman" w:hAnsi="Times New Roman" w:cs="Times New Roman"/>
          <w:sz w:val="24"/>
          <w:szCs w:val="24"/>
        </w:rPr>
        <w:t xml:space="preserve"> for the purposes of registration for Indian status</w:t>
      </w:r>
      <w:r w:rsidR="009F20DD" w:rsidRPr="00DB384A">
        <w:rPr>
          <w:rFonts w:ascii="Times New Roman" w:hAnsi="Times New Roman" w:cs="Times New Roman"/>
          <w:sz w:val="24"/>
          <w:szCs w:val="24"/>
        </w:rPr>
        <w:t xml:space="preserve">. </w:t>
      </w:r>
      <w:r w:rsidR="00CA384A" w:rsidRPr="00DB384A">
        <w:rPr>
          <w:rFonts w:ascii="Times New Roman" w:hAnsi="Times New Roman" w:cs="Times New Roman"/>
          <w:sz w:val="24"/>
          <w:szCs w:val="24"/>
        </w:rPr>
        <w:t>Second, p</w:t>
      </w:r>
      <w:r w:rsidR="00FC561A" w:rsidRPr="00DB384A">
        <w:rPr>
          <w:rFonts w:ascii="Times New Roman" w:hAnsi="Times New Roman" w:cs="Times New Roman"/>
          <w:sz w:val="24"/>
          <w:szCs w:val="24"/>
        </w:rPr>
        <w:t>articularly</w:t>
      </w:r>
      <w:r w:rsidR="007306A3" w:rsidRPr="00DB384A">
        <w:rPr>
          <w:rFonts w:ascii="Times New Roman" w:hAnsi="Times New Roman" w:cs="Times New Roman"/>
          <w:sz w:val="24"/>
          <w:szCs w:val="24"/>
        </w:rPr>
        <w:t xml:space="preserve"> at the second stage</w:t>
      </w:r>
      <w:r w:rsidR="00FC561A" w:rsidRPr="00DB384A">
        <w:rPr>
          <w:rFonts w:ascii="Times New Roman" w:hAnsi="Times New Roman" w:cs="Times New Roman"/>
          <w:sz w:val="24"/>
          <w:szCs w:val="24"/>
        </w:rPr>
        <w:t xml:space="preserve"> of the s. 15(1)</w:t>
      </w:r>
      <w:r w:rsidR="0005688E" w:rsidRPr="00DB384A">
        <w:rPr>
          <w:rFonts w:ascii="Times New Roman" w:hAnsi="Times New Roman" w:cs="Times New Roman"/>
          <w:sz w:val="24"/>
          <w:szCs w:val="24"/>
        </w:rPr>
        <w:t xml:space="preserve"> analysis</w:t>
      </w:r>
      <w:r w:rsidR="007306A3" w:rsidRPr="00DB384A">
        <w:rPr>
          <w:rFonts w:ascii="Times New Roman" w:hAnsi="Times New Roman" w:cs="Times New Roman"/>
          <w:sz w:val="24"/>
          <w:szCs w:val="24"/>
        </w:rPr>
        <w:t xml:space="preserve">, </w:t>
      </w:r>
      <w:r w:rsidR="00D92EE3" w:rsidRPr="00DB384A">
        <w:rPr>
          <w:rFonts w:ascii="Times New Roman" w:hAnsi="Times New Roman" w:cs="Times New Roman"/>
          <w:sz w:val="24"/>
          <w:szCs w:val="24"/>
        </w:rPr>
        <w:t>careful atte</w:t>
      </w:r>
      <w:r w:rsidR="00B46F2D" w:rsidRPr="00DB384A">
        <w:rPr>
          <w:rFonts w:ascii="Times New Roman" w:hAnsi="Times New Roman" w:cs="Times New Roman"/>
          <w:sz w:val="24"/>
          <w:szCs w:val="24"/>
        </w:rPr>
        <w:t xml:space="preserve">ntion </w:t>
      </w:r>
      <w:proofErr w:type="gramStart"/>
      <w:r w:rsidR="00B46F2D" w:rsidRPr="00DB384A">
        <w:rPr>
          <w:rFonts w:ascii="Times New Roman" w:hAnsi="Times New Roman" w:cs="Times New Roman"/>
          <w:sz w:val="24"/>
          <w:szCs w:val="24"/>
        </w:rPr>
        <w:t>must be paid</w:t>
      </w:r>
      <w:proofErr w:type="gramEnd"/>
      <w:r w:rsidR="00B46F2D" w:rsidRPr="00DB384A">
        <w:rPr>
          <w:rFonts w:ascii="Times New Roman" w:hAnsi="Times New Roman" w:cs="Times New Roman"/>
          <w:sz w:val="24"/>
          <w:szCs w:val="24"/>
        </w:rPr>
        <w:t xml:space="preserve"> to the lived</w:t>
      </w:r>
      <w:r w:rsidR="001E6B90" w:rsidRPr="00DB384A">
        <w:rPr>
          <w:rFonts w:ascii="Times New Roman" w:hAnsi="Times New Roman" w:cs="Times New Roman"/>
          <w:sz w:val="24"/>
          <w:szCs w:val="24"/>
        </w:rPr>
        <w:t xml:space="preserve"> experience of claimants</w:t>
      </w:r>
      <w:r w:rsidR="008F401E" w:rsidRPr="00DB384A">
        <w:rPr>
          <w:rFonts w:ascii="Times New Roman" w:hAnsi="Times New Roman" w:cs="Times New Roman"/>
          <w:sz w:val="24"/>
          <w:szCs w:val="24"/>
        </w:rPr>
        <w:t>, understood in its full historical context</w:t>
      </w:r>
      <w:r w:rsidR="00B046D6" w:rsidRPr="00DB384A">
        <w:rPr>
          <w:rFonts w:ascii="Times New Roman" w:hAnsi="Times New Roman" w:cs="Times New Roman"/>
          <w:sz w:val="24"/>
          <w:szCs w:val="24"/>
        </w:rPr>
        <w:t>. In light of this context, if the impugned law or policy widens the gap between a historically disadvantaged</w:t>
      </w:r>
      <w:r w:rsidR="00EE26E4" w:rsidRPr="00DB384A">
        <w:rPr>
          <w:rFonts w:ascii="Times New Roman" w:hAnsi="Times New Roman" w:cs="Times New Roman"/>
          <w:sz w:val="24"/>
          <w:szCs w:val="24"/>
        </w:rPr>
        <w:t xml:space="preserve"> group and the rest of society,</w:t>
      </w:r>
      <w:r w:rsidR="00B046D6" w:rsidRPr="00DB384A">
        <w:rPr>
          <w:rFonts w:ascii="Times New Roman" w:hAnsi="Times New Roman" w:cs="Times New Roman"/>
          <w:sz w:val="24"/>
          <w:szCs w:val="24"/>
        </w:rPr>
        <w:t xml:space="preserve"> it is discriminatory</w:t>
      </w:r>
      <w:r w:rsidR="0005688E" w:rsidRPr="00DB384A">
        <w:rPr>
          <w:rFonts w:ascii="Times New Roman" w:hAnsi="Times New Roman" w:cs="Times New Roman"/>
          <w:sz w:val="24"/>
          <w:szCs w:val="24"/>
        </w:rPr>
        <w:t>.</w:t>
      </w:r>
      <w:r w:rsidR="00B046D6" w:rsidRPr="00DB384A">
        <w:rPr>
          <w:rFonts w:ascii="Times New Roman" w:hAnsi="Times New Roman" w:cs="Times New Roman"/>
          <w:sz w:val="24"/>
          <w:szCs w:val="24"/>
        </w:rPr>
        <w:t xml:space="preserve"> </w:t>
      </w:r>
      <w:r w:rsidR="00CA384A" w:rsidRPr="00DB384A">
        <w:rPr>
          <w:rFonts w:ascii="Times New Roman" w:hAnsi="Times New Roman" w:cs="Times New Roman"/>
          <w:sz w:val="24"/>
          <w:szCs w:val="24"/>
        </w:rPr>
        <w:t>Finally, t</w:t>
      </w:r>
      <w:r w:rsidR="0076094A" w:rsidRPr="00DB384A">
        <w:rPr>
          <w:rFonts w:ascii="Times New Roman" w:hAnsi="Times New Roman" w:cs="Times New Roman"/>
          <w:sz w:val="24"/>
          <w:szCs w:val="24"/>
        </w:rPr>
        <w:t>he reasonableness a</w:t>
      </w:r>
      <w:r w:rsidR="00FD3DE1" w:rsidRPr="00DB384A">
        <w:rPr>
          <w:rFonts w:ascii="Times New Roman" w:hAnsi="Times New Roman" w:cs="Times New Roman"/>
          <w:sz w:val="24"/>
          <w:szCs w:val="24"/>
        </w:rPr>
        <w:t>nd integrity of the registration</w:t>
      </w:r>
      <w:r w:rsidR="0076094A" w:rsidRPr="00DB384A">
        <w:rPr>
          <w:rFonts w:ascii="Times New Roman" w:hAnsi="Times New Roman" w:cs="Times New Roman"/>
          <w:sz w:val="24"/>
          <w:szCs w:val="24"/>
        </w:rPr>
        <w:t xml:space="preserve"> </w:t>
      </w:r>
      <w:r w:rsidR="00FD3DE1" w:rsidRPr="00DB384A">
        <w:rPr>
          <w:rFonts w:ascii="Times New Roman" w:hAnsi="Times New Roman" w:cs="Times New Roman"/>
          <w:sz w:val="24"/>
          <w:szCs w:val="24"/>
        </w:rPr>
        <w:lastRenderedPageBreak/>
        <w:t xml:space="preserve">system </w:t>
      </w:r>
      <w:proofErr w:type="gramStart"/>
      <w:r w:rsidR="00FD3DE1" w:rsidRPr="00DB384A">
        <w:rPr>
          <w:rFonts w:ascii="Times New Roman" w:hAnsi="Times New Roman" w:cs="Times New Roman"/>
          <w:sz w:val="24"/>
          <w:szCs w:val="24"/>
        </w:rPr>
        <w:t>are appropriately considered</w:t>
      </w:r>
      <w:proofErr w:type="gramEnd"/>
      <w:r w:rsidR="00FD3DE1" w:rsidRPr="00DB384A">
        <w:rPr>
          <w:rFonts w:ascii="Times New Roman" w:hAnsi="Times New Roman" w:cs="Times New Roman"/>
          <w:sz w:val="24"/>
          <w:szCs w:val="24"/>
        </w:rPr>
        <w:t xml:space="preserve"> as part of the s. 1 analysis, not as part of the inquiry into whether s. 15(1) has been violated. </w:t>
      </w:r>
      <w:r w:rsidR="0072765B" w:rsidRPr="00DB384A">
        <w:rPr>
          <w:rFonts w:ascii="Times New Roman" w:hAnsi="Times New Roman" w:cs="Times New Roman"/>
          <w:sz w:val="24"/>
          <w:szCs w:val="24"/>
        </w:rPr>
        <w:t xml:space="preserve"> </w:t>
      </w:r>
    </w:p>
    <w:p w:rsidR="008F401E" w:rsidRPr="00DB384A" w:rsidRDefault="00FC363E" w:rsidP="009A4E07">
      <w:pPr>
        <w:pStyle w:val="FactumHeadingL3"/>
        <w:spacing w:after="240"/>
        <w:rPr>
          <w:rFonts w:ascii="Times New Roman" w:hAnsi="Times New Roman" w:cs="Times New Roman"/>
          <w:sz w:val="24"/>
          <w:szCs w:val="24"/>
        </w:rPr>
      </w:pPr>
      <w:r>
        <w:rPr>
          <w:rFonts w:ascii="Times New Roman" w:hAnsi="Times New Roman" w:cs="Times New Roman"/>
          <w:sz w:val="24"/>
          <w:szCs w:val="24"/>
        </w:rPr>
        <w:t>The Act and Policy draw a</w:t>
      </w:r>
      <w:r w:rsidR="00647657" w:rsidRPr="00DB384A">
        <w:rPr>
          <w:rFonts w:ascii="Times New Roman" w:hAnsi="Times New Roman" w:cs="Times New Roman"/>
          <w:sz w:val="24"/>
          <w:szCs w:val="24"/>
        </w:rPr>
        <w:t xml:space="preserve"> distinction </w:t>
      </w:r>
      <w:proofErr w:type="gramStart"/>
      <w:r w:rsidR="00647657" w:rsidRPr="00DB384A">
        <w:rPr>
          <w:rFonts w:ascii="Times New Roman" w:hAnsi="Times New Roman" w:cs="Times New Roman"/>
          <w:sz w:val="24"/>
          <w:szCs w:val="24"/>
        </w:rPr>
        <w:t>on the basis of</w:t>
      </w:r>
      <w:proofErr w:type="gramEnd"/>
      <w:r w:rsidR="00647657" w:rsidRPr="00DB384A">
        <w:rPr>
          <w:rFonts w:ascii="Times New Roman" w:hAnsi="Times New Roman" w:cs="Times New Roman"/>
          <w:sz w:val="24"/>
          <w:szCs w:val="24"/>
        </w:rPr>
        <w:t xml:space="preserve"> the protected </w:t>
      </w:r>
      <w:r w:rsidR="0074345D" w:rsidRPr="00DB384A">
        <w:rPr>
          <w:rFonts w:ascii="Times New Roman" w:hAnsi="Times New Roman" w:cs="Times New Roman"/>
          <w:sz w:val="24"/>
          <w:szCs w:val="24"/>
        </w:rPr>
        <w:t xml:space="preserve">grounds of </w:t>
      </w:r>
      <w:r w:rsidR="00647657" w:rsidRPr="00DB384A">
        <w:rPr>
          <w:rFonts w:ascii="Times New Roman" w:hAnsi="Times New Roman" w:cs="Times New Roman"/>
          <w:sz w:val="24"/>
          <w:szCs w:val="24"/>
        </w:rPr>
        <w:t>sex</w:t>
      </w:r>
      <w:r w:rsidR="006C4D59">
        <w:rPr>
          <w:rFonts w:ascii="Times New Roman" w:hAnsi="Times New Roman" w:cs="Times New Roman"/>
          <w:sz w:val="24"/>
          <w:szCs w:val="24"/>
        </w:rPr>
        <w:t xml:space="preserve"> and marital status.</w:t>
      </w:r>
      <w:r w:rsidR="00647657" w:rsidRPr="00DB384A">
        <w:rPr>
          <w:rFonts w:ascii="Times New Roman" w:hAnsi="Times New Roman" w:cs="Times New Roman"/>
          <w:sz w:val="24"/>
          <w:szCs w:val="24"/>
        </w:rPr>
        <w:t xml:space="preserve"> </w:t>
      </w:r>
    </w:p>
    <w:p w:rsidR="00724F9A" w:rsidRDefault="007A66E3" w:rsidP="00B354CC">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first stage of the s. 15(1) test asks whether the impugned law or policy draws a distinction </w:t>
      </w:r>
      <w:proofErr w:type="gramStart"/>
      <w:r w:rsidRPr="00DB384A">
        <w:rPr>
          <w:rFonts w:ascii="Times New Roman" w:hAnsi="Times New Roman" w:cs="Times New Roman"/>
          <w:sz w:val="24"/>
          <w:szCs w:val="24"/>
        </w:rPr>
        <w:t>on the basis of</w:t>
      </w:r>
      <w:proofErr w:type="gramEnd"/>
      <w:r w:rsidRPr="00DB384A">
        <w:rPr>
          <w:rFonts w:ascii="Times New Roman" w:hAnsi="Times New Roman" w:cs="Times New Roman"/>
          <w:sz w:val="24"/>
          <w:szCs w:val="24"/>
        </w:rPr>
        <w:t xml:space="preserve"> an enumerated or analogous ground. </w:t>
      </w:r>
    </w:p>
    <w:p w:rsidR="00310BE5" w:rsidRPr="00724F9A" w:rsidRDefault="0070237B" w:rsidP="00724F9A">
      <w:pPr>
        <w:pStyle w:val="FactumBodyL1"/>
        <w:spacing w:after="120"/>
        <w:ind w:left="0" w:firstLine="0"/>
        <w:rPr>
          <w:rFonts w:ascii="Times New Roman" w:hAnsi="Times New Roman" w:cs="Times New Roman"/>
          <w:sz w:val="24"/>
          <w:szCs w:val="24"/>
        </w:rPr>
      </w:pPr>
      <w:r w:rsidRPr="00B354CC">
        <w:rPr>
          <w:rFonts w:ascii="Times New Roman" w:hAnsi="Times New Roman" w:cs="Times New Roman"/>
          <w:sz w:val="24"/>
          <w:szCs w:val="24"/>
        </w:rPr>
        <w:t xml:space="preserve">Section 6, as it has been implemented by the Policy, makes a distinction </w:t>
      </w:r>
      <w:proofErr w:type="gramStart"/>
      <w:r w:rsidRPr="00B354CC">
        <w:rPr>
          <w:rFonts w:ascii="Times New Roman" w:hAnsi="Times New Roman" w:cs="Times New Roman"/>
          <w:sz w:val="24"/>
          <w:szCs w:val="24"/>
        </w:rPr>
        <w:t>on the basis of</w:t>
      </w:r>
      <w:proofErr w:type="gramEnd"/>
      <w:r w:rsidRPr="00B354CC">
        <w:rPr>
          <w:rFonts w:ascii="Times New Roman" w:hAnsi="Times New Roman" w:cs="Times New Roman"/>
          <w:sz w:val="24"/>
          <w:szCs w:val="24"/>
        </w:rPr>
        <w:t xml:space="preserve"> sex.</w:t>
      </w:r>
      <w:r w:rsidR="00724F9A">
        <w:rPr>
          <w:rFonts w:ascii="Times New Roman" w:hAnsi="Times New Roman" w:cs="Times New Roman"/>
          <w:sz w:val="24"/>
          <w:szCs w:val="24"/>
        </w:rPr>
        <w:t xml:space="preserve"> </w:t>
      </w:r>
      <w:r w:rsidR="00C540F4" w:rsidRPr="00724F9A">
        <w:rPr>
          <w:rFonts w:ascii="Times New Roman" w:hAnsi="Times New Roman" w:cs="Times New Roman"/>
          <w:sz w:val="24"/>
          <w:szCs w:val="24"/>
        </w:rPr>
        <w:t xml:space="preserve">There is </w:t>
      </w:r>
      <w:r w:rsidR="0092249D">
        <w:rPr>
          <w:rFonts w:ascii="Times New Roman" w:hAnsi="Times New Roman" w:cs="Times New Roman"/>
          <w:sz w:val="24"/>
          <w:szCs w:val="24"/>
        </w:rPr>
        <w:t>a fundamental and necessary</w:t>
      </w:r>
      <w:r w:rsidR="00C540F4" w:rsidRPr="00724F9A">
        <w:rPr>
          <w:rFonts w:ascii="Times New Roman" w:hAnsi="Times New Roman" w:cs="Times New Roman"/>
          <w:sz w:val="24"/>
          <w:szCs w:val="24"/>
        </w:rPr>
        <w:t xml:space="preserve"> connection between sex and unstated paternity.</w:t>
      </w:r>
      <w:r w:rsidR="004A51A5" w:rsidRPr="00724F9A">
        <w:rPr>
          <w:rFonts w:ascii="Times New Roman" w:hAnsi="Times New Roman" w:cs="Times New Roman"/>
          <w:sz w:val="24"/>
          <w:szCs w:val="24"/>
        </w:rPr>
        <w:t xml:space="preserve"> </w:t>
      </w:r>
      <w:proofErr w:type="gramStart"/>
      <w:r w:rsidR="00FC363E" w:rsidRPr="00724F9A">
        <w:rPr>
          <w:rFonts w:ascii="Times New Roman" w:hAnsi="Times New Roman" w:cs="Times New Roman"/>
          <w:sz w:val="24"/>
          <w:szCs w:val="24"/>
        </w:rPr>
        <w:t>I</w:t>
      </w:r>
      <w:r w:rsidR="00310BE5" w:rsidRPr="00724F9A">
        <w:rPr>
          <w:rFonts w:ascii="Times New Roman" w:hAnsi="Times New Roman" w:cs="Times New Roman"/>
          <w:sz w:val="24"/>
          <w:szCs w:val="24"/>
        </w:rPr>
        <w:t>t is only women who are inescapably identifiable as having given birth</w:t>
      </w:r>
      <w:r w:rsidR="00BD1577" w:rsidRPr="00724F9A">
        <w:rPr>
          <w:rFonts w:ascii="Times New Roman" w:hAnsi="Times New Roman" w:cs="Times New Roman"/>
          <w:sz w:val="24"/>
          <w:szCs w:val="24"/>
        </w:rPr>
        <w:t>.</w:t>
      </w:r>
      <w:proofErr w:type="gramEnd"/>
      <w:r w:rsidR="00CE567C" w:rsidRPr="00724F9A">
        <w:rPr>
          <w:rFonts w:ascii="Times New Roman" w:hAnsi="Times New Roman" w:cs="Times New Roman"/>
          <w:sz w:val="24"/>
          <w:szCs w:val="24"/>
        </w:rPr>
        <w:t xml:space="preserve"> </w:t>
      </w:r>
      <w:r w:rsidR="00047DE5" w:rsidRPr="00724F9A">
        <w:rPr>
          <w:rFonts w:ascii="Times New Roman" w:hAnsi="Times New Roman" w:cs="Times New Roman"/>
          <w:sz w:val="24"/>
          <w:szCs w:val="24"/>
        </w:rPr>
        <w:t>As a result, i</w:t>
      </w:r>
      <w:r w:rsidR="003B05D8" w:rsidRPr="00724F9A">
        <w:rPr>
          <w:rFonts w:ascii="Times New Roman" w:hAnsi="Times New Roman" w:cs="Times New Roman"/>
          <w:sz w:val="24"/>
          <w:szCs w:val="24"/>
        </w:rPr>
        <w:t>n</w:t>
      </w:r>
      <w:r w:rsidR="00CE567C" w:rsidRPr="00724F9A">
        <w:rPr>
          <w:rFonts w:ascii="Times New Roman" w:hAnsi="Times New Roman" w:cs="Times New Roman"/>
          <w:sz w:val="24"/>
          <w:szCs w:val="24"/>
        </w:rPr>
        <w:t xml:space="preserve"> any situation in which</w:t>
      </w:r>
      <w:r w:rsidR="00676A07" w:rsidRPr="00724F9A">
        <w:rPr>
          <w:rFonts w:ascii="Times New Roman" w:hAnsi="Times New Roman" w:cs="Times New Roman"/>
          <w:sz w:val="24"/>
          <w:szCs w:val="24"/>
        </w:rPr>
        <w:t xml:space="preserve"> only</w:t>
      </w:r>
      <w:r w:rsidR="00CE567C" w:rsidRPr="00724F9A">
        <w:rPr>
          <w:rFonts w:ascii="Times New Roman" w:hAnsi="Times New Roman" w:cs="Times New Roman"/>
          <w:sz w:val="24"/>
          <w:szCs w:val="24"/>
        </w:rPr>
        <w:t xml:space="preserve"> one parent is identifi</w:t>
      </w:r>
      <w:r w:rsidR="003D0EE2" w:rsidRPr="00724F9A">
        <w:rPr>
          <w:rFonts w:ascii="Times New Roman" w:hAnsi="Times New Roman" w:cs="Times New Roman"/>
          <w:sz w:val="24"/>
          <w:szCs w:val="24"/>
        </w:rPr>
        <w:t>able</w:t>
      </w:r>
      <w:r w:rsidR="00CE567C" w:rsidRPr="00724F9A">
        <w:rPr>
          <w:rFonts w:ascii="Times New Roman" w:hAnsi="Times New Roman" w:cs="Times New Roman"/>
          <w:sz w:val="24"/>
          <w:szCs w:val="24"/>
        </w:rPr>
        <w:t xml:space="preserve"> for the purposes of registration, it is likely to be </w:t>
      </w:r>
      <w:r w:rsidR="00B61AD0" w:rsidRPr="00724F9A">
        <w:rPr>
          <w:rFonts w:ascii="Times New Roman" w:hAnsi="Times New Roman" w:cs="Times New Roman"/>
          <w:sz w:val="24"/>
          <w:szCs w:val="24"/>
        </w:rPr>
        <w:t>a</w:t>
      </w:r>
      <w:r w:rsidR="00DA6857" w:rsidRPr="00724F9A">
        <w:rPr>
          <w:rFonts w:ascii="Times New Roman" w:hAnsi="Times New Roman" w:cs="Times New Roman"/>
          <w:sz w:val="24"/>
          <w:szCs w:val="24"/>
        </w:rPr>
        <w:t xml:space="preserve"> woman.</w:t>
      </w:r>
      <w:r w:rsidR="00CE567C" w:rsidRPr="00724F9A">
        <w:rPr>
          <w:rFonts w:ascii="Times New Roman" w:hAnsi="Times New Roman" w:cs="Times New Roman"/>
          <w:sz w:val="24"/>
          <w:szCs w:val="24"/>
        </w:rPr>
        <w:t xml:space="preserve"> </w:t>
      </w:r>
      <w:r w:rsidR="00047DE5" w:rsidRPr="00724F9A">
        <w:rPr>
          <w:rFonts w:ascii="Times New Roman" w:hAnsi="Times New Roman" w:cs="Times New Roman"/>
          <w:sz w:val="24"/>
          <w:szCs w:val="24"/>
        </w:rPr>
        <w:t>A woman may be unable to identify her child’s father for the purposes of registration</w:t>
      </w:r>
      <w:r w:rsidR="009C7C30" w:rsidRPr="00724F9A">
        <w:rPr>
          <w:rFonts w:ascii="Times New Roman" w:hAnsi="Times New Roman" w:cs="Times New Roman"/>
          <w:sz w:val="24"/>
          <w:szCs w:val="24"/>
        </w:rPr>
        <w:t xml:space="preserve"> for a number of reasons. </w:t>
      </w:r>
      <w:r w:rsidR="00047DE5" w:rsidRPr="00724F9A">
        <w:rPr>
          <w:rFonts w:ascii="Times New Roman" w:hAnsi="Times New Roman" w:cs="Times New Roman"/>
          <w:sz w:val="24"/>
          <w:szCs w:val="24"/>
        </w:rPr>
        <w:t>She</w:t>
      </w:r>
      <w:r w:rsidR="00CE567C" w:rsidRPr="00724F9A">
        <w:rPr>
          <w:rFonts w:ascii="Times New Roman" w:hAnsi="Times New Roman" w:cs="Times New Roman"/>
          <w:sz w:val="24"/>
          <w:szCs w:val="24"/>
        </w:rPr>
        <w:t xml:space="preserve"> </w:t>
      </w:r>
      <w:r w:rsidR="001F6229" w:rsidRPr="00724F9A">
        <w:rPr>
          <w:rFonts w:ascii="Times New Roman" w:hAnsi="Times New Roman" w:cs="Times New Roman"/>
          <w:sz w:val="24"/>
          <w:szCs w:val="24"/>
        </w:rPr>
        <w:t>may not know the name of the child’s father</w:t>
      </w:r>
      <w:r w:rsidR="00DF4BAA" w:rsidRPr="00724F9A">
        <w:rPr>
          <w:rFonts w:ascii="Times New Roman" w:hAnsi="Times New Roman" w:cs="Times New Roman"/>
          <w:sz w:val="24"/>
          <w:szCs w:val="24"/>
        </w:rPr>
        <w:t xml:space="preserve"> – for instance, </w:t>
      </w:r>
      <w:r w:rsidR="009C7C30" w:rsidRPr="00724F9A">
        <w:rPr>
          <w:rFonts w:ascii="Times New Roman" w:hAnsi="Times New Roman" w:cs="Times New Roman"/>
          <w:sz w:val="24"/>
          <w:szCs w:val="24"/>
        </w:rPr>
        <w:t>if the mother had</w:t>
      </w:r>
      <w:r w:rsidR="001F6229" w:rsidRPr="00724F9A">
        <w:rPr>
          <w:rFonts w:ascii="Times New Roman" w:hAnsi="Times New Roman" w:cs="Times New Roman"/>
          <w:sz w:val="24"/>
          <w:szCs w:val="24"/>
        </w:rPr>
        <w:t xml:space="preserve"> </w:t>
      </w:r>
      <w:r w:rsidR="00DF4BAA" w:rsidRPr="00724F9A">
        <w:rPr>
          <w:rFonts w:ascii="Times New Roman" w:hAnsi="Times New Roman" w:cs="Times New Roman"/>
          <w:sz w:val="24"/>
          <w:szCs w:val="24"/>
        </w:rPr>
        <w:t>m</w:t>
      </w:r>
      <w:r w:rsidR="001F6229" w:rsidRPr="00724F9A">
        <w:rPr>
          <w:rFonts w:ascii="Times New Roman" w:hAnsi="Times New Roman" w:cs="Times New Roman"/>
          <w:sz w:val="24"/>
          <w:szCs w:val="24"/>
        </w:rPr>
        <w:t>ultiple partners</w:t>
      </w:r>
      <w:r w:rsidR="00D672C7" w:rsidRPr="00724F9A">
        <w:rPr>
          <w:rFonts w:ascii="Times New Roman" w:hAnsi="Times New Roman" w:cs="Times New Roman"/>
          <w:sz w:val="24"/>
          <w:szCs w:val="24"/>
        </w:rPr>
        <w:t xml:space="preserve">, </w:t>
      </w:r>
      <w:r w:rsidR="009C7C30" w:rsidRPr="00724F9A">
        <w:rPr>
          <w:rFonts w:ascii="Times New Roman" w:hAnsi="Times New Roman" w:cs="Times New Roman"/>
          <w:sz w:val="24"/>
          <w:szCs w:val="24"/>
        </w:rPr>
        <w:t>engaged</w:t>
      </w:r>
      <w:r w:rsidR="001F6229" w:rsidRPr="00724F9A">
        <w:rPr>
          <w:rFonts w:ascii="Times New Roman" w:hAnsi="Times New Roman" w:cs="Times New Roman"/>
          <w:sz w:val="24"/>
          <w:szCs w:val="24"/>
        </w:rPr>
        <w:t xml:space="preserve"> in sex </w:t>
      </w:r>
      <w:r w:rsidR="009237E9" w:rsidRPr="00724F9A">
        <w:rPr>
          <w:rFonts w:ascii="Times New Roman" w:hAnsi="Times New Roman" w:cs="Times New Roman"/>
          <w:sz w:val="24"/>
          <w:szCs w:val="24"/>
        </w:rPr>
        <w:t>in exchange for payment</w:t>
      </w:r>
      <w:r w:rsidRPr="00724F9A">
        <w:rPr>
          <w:rFonts w:ascii="Times New Roman" w:hAnsi="Times New Roman" w:cs="Times New Roman"/>
          <w:sz w:val="24"/>
          <w:szCs w:val="24"/>
        </w:rPr>
        <w:t xml:space="preserve">, </w:t>
      </w:r>
      <w:r w:rsidR="00D672C7" w:rsidRPr="00724F9A">
        <w:rPr>
          <w:rFonts w:ascii="Times New Roman" w:hAnsi="Times New Roman" w:cs="Times New Roman"/>
          <w:sz w:val="24"/>
          <w:szCs w:val="24"/>
        </w:rPr>
        <w:t xml:space="preserve">or </w:t>
      </w:r>
      <w:proofErr w:type="gramStart"/>
      <w:r w:rsidR="00D672C7" w:rsidRPr="00724F9A">
        <w:rPr>
          <w:rFonts w:ascii="Times New Roman" w:hAnsi="Times New Roman" w:cs="Times New Roman"/>
          <w:sz w:val="24"/>
          <w:szCs w:val="24"/>
        </w:rPr>
        <w:t>was sexually assaulted</w:t>
      </w:r>
      <w:proofErr w:type="gramEnd"/>
      <w:r w:rsidR="00D672C7" w:rsidRPr="00724F9A">
        <w:rPr>
          <w:rFonts w:ascii="Times New Roman" w:hAnsi="Times New Roman" w:cs="Times New Roman"/>
          <w:sz w:val="24"/>
          <w:szCs w:val="24"/>
        </w:rPr>
        <w:t xml:space="preserve"> by a stranger</w:t>
      </w:r>
      <w:r w:rsidR="00936659" w:rsidRPr="00724F9A">
        <w:rPr>
          <w:rFonts w:ascii="Times New Roman" w:hAnsi="Times New Roman" w:cs="Times New Roman"/>
          <w:sz w:val="24"/>
          <w:szCs w:val="24"/>
        </w:rPr>
        <w:t>.</w:t>
      </w:r>
      <w:r w:rsidR="001F6229" w:rsidRPr="00724F9A">
        <w:rPr>
          <w:rFonts w:ascii="Times New Roman" w:hAnsi="Times New Roman" w:cs="Times New Roman"/>
          <w:sz w:val="24"/>
          <w:szCs w:val="24"/>
        </w:rPr>
        <w:t xml:space="preserve"> </w:t>
      </w:r>
      <w:r w:rsidR="00647A42" w:rsidRPr="00724F9A">
        <w:rPr>
          <w:rFonts w:ascii="Times New Roman" w:hAnsi="Times New Roman" w:cs="Times New Roman"/>
          <w:sz w:val="24"/>
          <w:szCs w:val="24"/>
        </w:rPr>
        <w:t>A woman may</w:t>
      </w:r>
      <w:r w:rsidR="00C86FAA" w:rsidRPr="00724F9A">
        <w:rPr>
          <w:rFonts w:ascii="Times New Roman" w:hAnsi="Times New Roman" w:cs="Times New Roman"/>
          <w:sz w:val="24"/>
          <w:szCs w:val="24"/>
        </w:rPr>
        <w:t xml:space="preserve"> also</w:t>
      </w:r>
      <w:r w:rsidR="00647A42" w:rsidRPr="00724F9A">
        <w:rPr>
          <w:rFonts w:ascii="Times New Roman" w:hAnsi="Times New Roman" w:cs="Times New Roman"/>
          <w:sz w:val="24"/>
          <w:szCs w:val="24"/>
        </w:rPr>
        <w:t xml:space="preserve"> be unable to prove paternity because</w:t>
      </w:r>
      <w:r w:rsidR="006C4D59" w:rsidRPr="00724F9A">
        <w:rPr>
          <w:rFonts w:ascii="Times New Roman" w:hAnsi="Times New Roman" w:cs="Times New Roman"/>
          <w:sz w:val="24"/>
          <w:szCs w:val="24"/>
        </w:rPr>
        <w:t xml:space="preserve"> </w:t>
      </w:r>
      <w:r w:rsidR="009C7C30" w:rsidRPr="00724F9A">
        <w:rPr>
          <w:rFonts w:ascii="Times New Roman" w:hAnsi="Times New Roman" w:cs="Times New Roman"/>
          <w:sz w:val="24"/>
          <w:szCs w:val="24"/>
        </w:rPr>
        <w:t>the</w:t>
      </w:r>
      <w:r w:rsidR="00CE567C" w:rsidRPr="00724F9A">
        <w:rPr>
          <w:rFonts w:ascii="Times New Roman" w:hAnsi="Times New Roman" w:cs="Times New Roman"/>
          <w:sz w:val="24"/>
          <w:szCs w:val="24"/>
        </w:rPr>
        <w:t xml:space="preserve"> father</w:t>
      </w:r>
      <w:r w:rsidR="001F6229" w:rsidRPr="00724F9A">
        <w:rPr>
          <w:rFonts w:ascii="Times New Roman" w:hAnsi="Times New Roman" w:cs="Times New Roman"/>
          <w:sz w:val="24"/>
          <w:szCs w:val="24"/>
        </w:rPr>
        <w:t xml:space="preserve"> </w:t>
      </w:r>
      <w:r w:rsidR="006C4D59" w:rsidRPr="00724F9A">
        <w:rPr>
          <w:rFonts w:ascii="Times New Roman" w:hAnsi="Times New Roman" w:cs="Times New Roman"/>
          <w:sz w:val="24"/>
          <w:szCs w:val="24"/>
        </w:rPr>
        <w:t>refuses</w:t>
      </w:r>
      <w:r w:rsidR="00CE567C" w:rsidRPr="00724F9A">
        <w:rPr>
          <w:rFonts w:ascii="Times New Roman" w:hAnsi="Times New Roman" w:cs="Times New Roman"/>
          <w:sz w:val="24"/>
          <w:szCs w:val="24"/>
        </w:rPr>
        <w:t xml:space="preserve"> </w:t>
      </w:r>
      <w:r w:rsidR="00DA6857" w:rsidRPr="00724F9A">
        <w:rPr>
          <w:rFonts w:ascii="Times New Roman" w:hAnsi="Times New Roman" w:cs="Times New Roman"/>
          <w:sz w:val="24"/>
          <w:szCs w:val="24"/>
        </w:rPr>
        <w:t>to acknowledge paternity</w:t>
      </w:r>
      <w:r w:rsidR="001F6229" w:rsidRPr="00724F9A">
        <w:rPr>
          <w:rFonts w:ascii="Times New Roman" w:hAnsi="Times New Roman" w:cs="Times New Roman"/>
          <w:sz w:val="24"/>
          <w:szCs w:val="24"/>
        </w:rPr>
        <w:t>, fearing the social and/or financial consequences</w:t>
      </w:r>
      <w:r w:rsidR="00DA6857" w:rsidRPr="00724F9A">
        <w:rPr>
          <w:rFonts w:ascii="Times New Roman" w:hAnsi="Times New Roman" w:cs="Times New Roman"/>
          <w:sz w:val="24"/>
          <w:szCs w:val="24"/>
        </w:rPr>
        <w:t>.</w:t>
      </w:r>
      <w:r w:rsidR="001F6229" w:rsidRPr="00724F9A">
        <w:rPr>
          <w:rFonts w:ascii="Times New Roman" w:hAnsi="Times New Roman" w:cs="Times New Roman"/>
          <w:sz w:val="24"/>
          <w:szCs w:val="24"/>
        </w:rPr>
        <w:t xml:space="preserve"> </w:t>
      </w:r>
    </w:p>
    <w:p w:rsidR="00310BE5" w:rsidRPr="00DB384A" w:rsidRDefault="00FE66B6" w:rsidP="004251D7">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In other circumstances,</w:t>
      </w:r>
      <w:r w:rsidR="00647A42">
        <w:rPr>
          <w:rFonts w:ascii="Times New Roman" w:hAnsi="Times New Roman" w:cs="Times New Roman"/>
          <w:sz w:val="24"/>
          <w:szCs w:val="24"/>
        </w:rPr>
        <w:t xml:space="preserve"> </w:t>
      </w:r>
      <w:r w:rsidR="00FB7BF5">
        <w:rPr>
          <w:rFonts w:ascii="Times New Roman" w:hAnsi="Times New Roman" w:cs="Times New Roman"/>
          <w:sz w:val="24"/>
          <w:szCs w:val="24"/>
        </w:rPr>
        <w:t xml:space="preserve">a </w:t>
      </w:r>
      <w:r w:rsidR="00647A42">
        <w:rPr>
          <w:rFonts w:ascii="Times New Roman" w:hAnsi="Times New Roman" w:cs="Times New Roman"/>
          <w:sz w:val="24"/>
          <w:szCs w:val="24"/>
        </w:rPr>
        <w:t xml:space="preserve">woman may </w:t>
      </w:r>
      <w:r w:rsidR="004A51A5">
        <w:rPr>
          <w:rFonts w:ascii="Times New Roman" w:hAnsi="Times New Roman" w:cs="Times New Roman"/>
          <w:sz w:val="24"/>
          <w:szCs w:val="24"/>
        </w:rPr>
        <w:t>be effectively unable</w:t>
      </w:r>
      <w:r w:rsidR="00647A42">
        <w:rPr>
          <w:rFonts w:ascii="Times New Roman" w:hAnsi="Times New Roman" w:cs="Times New Roman"/>
          <w:sz w:val="24"/>
          <w:szCs w:val="24"/>
        </w:rPr>
        <w:t xml:space="preserve"> to prove paternity</w:t>
      </w:r>
      <w:r w:rsidR="00C86FAA">
        <w:rPr>
          <w:rFonts w:ascii="Times New Roman" w:hAnsi="Times New Roman" w:cs="Times New Roman"/>
          <w:sz w:val="24"/>
          <w:szCs w:val="24"/>
        </w:rPr>
        <w:t xml:space="preserve"> because of the high personal cost</w:t>
      </w:r>
      <w:r w:rsidR="00724F9A">
        <w:rPr>
          <w:rFonts w:ascii="Times New Roman" w:hAnsi="Times New Roman" w:cs="Times New Roman"/>
          <w:sz w:val="24"/>
          <w:szCs w:val="24"/>
        </w:rPr>
        <w:t xml:space="preserve"> of doing so</w:t>
      </w:r>
      <w:r w:rsidR="00647A42">
        <w:rPr>
          <w:rFonts w:ascii="Times New Roman" w:hAnsi="Times New Roman" w:cs="Times New Roman"/>
          <w:sz w:val="24"/>
          <w:szCs w:val="24"/>
        </w:rPr>
        <w:t xml:space="preserve">. </w:t>
      </w:r>
      <w:proofErr w:type="gramStart"/>
      <w:r w:rsidR="00647A42">
        <w:rPr>
          <w:rFonts w:ascii="Times New Roman" w:hAnsi="Times New Roman" w:cs="Times New Roman"/>
          <w:sz w:val="24"/>
          <w:szCs w:val="24"/>
        </w:rPr>
        <w:t>I</w:t>
      </w:r>
      <w:r w:rsidR="00DF4BAA" w:rsidRPr="00DB384A">
        <w:rPr>
          <w:rFonts w:ascii="Times New Roman" w:hAnsi="Times New Roman" w:cs="Times New Roman"/>
          <w:sz w:val="24"/>
          <w:szCs w:val="24"/>
        </w:rPr>
        <w:t>t is women, rather t</w:t>
      </w:r>
      <w:r w:rsidR="00797122" w:rsidRPr="00DB384A">
        <w:rPr>
          <w:rFonts w:ascii="Times New Roman" w:hAnsi="Times New Roman" w:cs="Times New Roman"/>
          <w:sz w:val="24"/>
          <w:szCs w:val="24"/>
        </w:rPr>
        <w:t>han men, who are likely to face</w:t>
      </w:r>
      <w:r w:rsidR="00840C8A" w:rsidRPr="00DB384A">
        <w:rPr>
          <w:rFonts w:ascii="Times New Roman" w:hAnsi="Times New Roman" w:cs="Times New Roman"/>
          <w:sz w:val="24"/>
          <w:szCs w:val="24"/>
        </w:rPr>
        <w:t xml:space="preserve"> serious risks that </w:t>
      </w:r>
      <w:r w:rsidR="00C86FAA">
        <w:rPr>
          <w:rFonts w:ascii="Times New Roman" w:hAnsi="Times New Roman" w:cs="Times New Roman"/>
          <w:sz w:val="24"/>
          <w:szCs w:val="24"/>
        </w:rPr>
        <w:t xml:space="preserve">could </w:t>
      </w:r>
      <w:r w:rsidR="00840C8A" w:rsidRPr="00DB384A">
        <w:rPr>
          <w:rFonts w:ascii="Times New Roman" w:hAnsi="Times New Roman" w:cs="Times New Roman"/>
          <w:sz w:val="24"/>
          <w:szCs w:val="24"/>
        </w:rPr>
        <w:t>functionally prevent them from identifying</w:t>
      </w:r>
      <w:r w:rsidR="00310BE5" w:rsidRPr="00DB384A">
        <w:rPr>
          <w:rFonts w:ascii="Times New Roman" w:hAnsi="Times New Roman" w:cs="Times New Roman"/>
          <w:sz w:val="24"/>
          <w:szCs w:val="24"/>
        </w:rPr>
        <w:t xml:space="preserve"> </w:t>
      </w:r>
      <w:r w:rsidR="00A364F8" w:rsidRPr="00DB384A">
        <w:rPr>
          <w:rFonts w:ascii="Times New Roman" w:hAnsi="Times New Roman" w:cs="Times New Roman"/>
          <w:sz w:val="24"/>
          <w:szCs w:val="24"/>
        </w:rPr>
        <w:t>the other biological parent</w:t>
      </w:r>
      <w:r w:rsidR="00310BE5" w:rsidRPr="00DB384A">
        <w:rPr>
          <w:rFonts w:ascii="Times New Roman" w:hAnsi="Times New Roman" w:cs="Times New Roman"/>
          <w:sz w:val="24"/>
          <w:szCs w:val="24"/>
        </w:rPr>
        <w:t xml:space="preserve"> of their children</w:t>
      </w:r>
      <w:r w:rsidR="003D0EE2" w:rsidRPr="00DB384A">
        <w:rPr>
          <w:rFonts w:ascii="Times New Roman" w:hAnsi="Times New Roman" w:cs="Times New Roman"/>
          <w:sz w:val="24"/>
          <w:szCs w:val="24"/>
        </w:rPr>
        <w:t xml:space="preserve"> for the purposes of registration.</w:t>
      </w:r>
      <w:proofErr w:type="gramEnd"/>
      <w:r w:rsidR="00092A8E" w:rsidRPr="00DB384A">
        <w:rPr>
          <w:rFonts w:ascii="Times New Roman" w:hAnsi="Times New Roman" w:cs="Times New Roman"/>
          <w:sz w:val="24"/>
          <w:szCs w:val="24"/>
        </w:rPr>
        <w:t xml:space="preserve"> Women</w:t>
      </w:r>
      <w:r w:rsidR="0032740C" w:rsidRPr="00DB384A">
        <w:rPr>
          <w:rStyle w:val="FootnoteReference"/>
          <w:rFonts w:ascii="Times New Roman" w:hAnsi="Times New Roman" w:cs="Times New Roman"/>
          <w:sz w:val="24"/>
          <w:szCs w:val="24"/>
        </w:rPr>
        <w:footnoteReference w:id="26"/>
      </w:r>
      <w:r w:rsidR="0032740C" w:rsidRPr="00DB384A">
        <w:rPr>
          <w:rFonts w:ascii="Times New Roman" w:hAnsi="Times New Roman" w:cs="Times New Roman"/>
          <w:sz w:val="24"/>
          <w:szCs w:val="24"/>
        </w:rPr>
        <w:t xml:space="preserve"> </w:t>
      </w:r>
      <w:r w:rsidR="00A50063" w:rsidRPr="00DB384A">
        <w:rPr>
          <w:rFonts w:ascii="Times New Roman" w:hAnsi="Times New Roman" w:cs="Times New Roman"/>
          <w:sz w:val="24"/>
          <w:szCs w:val="24"/>
        </w:rPr>
        <w:t xml:space="preserve">– and especially </w:t>
      </w:r>
      <w:proofErr w:type="gramStart"/>
      <w:r w:rsidR="00A50063" w:rsidRPr="00DB384A">
        <w:rPr>
          <w:rFonts w:ascii="Times New Roman" w:hAnsi="Times New Roman" w:cs="Times New Roman"/>
          <w:sz w:val="24"/>
          <w:szCs w:val="24"/>
        </w:rPr>
        <w:t>Indigenous</w:t>
      </w:r>
      <w:proofErr w:type="gramEnd"/>
      <w:r w:rsidR="00A50063" w:rsidRPr="00DB384A">
        <w:rPr>
          <w:rFonts w:ascii="Times New Roman" w:hAnsi="Times New Roman" w:cs="Times New Roman"/>
          <w:sz w:val="24"/>
          <w:szCs w:val="24"/>
        </w:rPr>
        <w:t xml:space="preserve"> women</w:t>
      </w:r>
      <w:r w:rsidR="00A50063" w:rsidRPr="00DB384A">
        <w:rPr>
          <w:rStyle w:val="FootnoteReference"/>
          <w:rFonts w:ascii="Times New Roman" w:hAnsi="Times New Roman" w:cs="Times New Roman"/>
          <w:sz w:val="24"/>
          <w:szCs w:val="24"/>
        </w:rPr>
        <w:footnoteReference w:id="27"/>
      </w:r>
      <w:r w:rsidR="00A50063" w:rsidRPr="00DB384A">
        <w:rPr>
          <w:rFonts w:ascii="Times New Roman" w:hAnsi="Times New Roman" w:cs="Times New Roman"/>
          <w:sz w:val="24"/>
          <w:szCs w:val="24"/>
        </w:rPr>
        <w:t xml:space="preserve"> – are </w:t>
      </w:r>
      <w:r w:rsidR="00092A8E" w:rsidRPr="00DB384A">
        <w:rPr>
          <w:rFonts w:ascii="Times New Roman" w:hAnsi="Times New Roman" w:cs="Times New Roman"/>
          <w:sz w:val="24"/>
          <w:szCs w:val="24"/>
        </w:rPr>
        <w:t xml:space="preserve">much more likely than men to experience intimate partner violence, particularly </w:t>
      </w:r>
      <w:r w:rsidR="00092A8E" w:rsidRPr="00DB384A">
        <w:rPr>
          <w:rFonts w:ascii="Times New Roman" w:hAnsi="Times New Roman" w:cs="Times New Roman"/>
          <w:sz w:val="24"/>
          <w:szCs w:val="24"/>
        </w:rPr>
        <w:lastRenderedPageBreak/>
        <w:t>rape and sexual assault.</w:t>
      </w:r>
      <w:r w:rsidR="00A50063" w:rsidRPr="00DB384A">
        <w:rPr>
          <w:rFonts w:ascii="Times New Roman" w:hAnsi="Times New Roman" w:cs="Times New Roman"/>
          <w:sz w:val="24"/>
          <w:szCs w:val="24"/>
        </w:rPr>
        <w:t xml:space="preserve"> </w:t>
      </w:r>
      <w:r w:rsidR="00E94897" w:rsidRPr="00DB384A">
        <w:rPr>
          <w:rFonts w:ascii="Times New Roman" w:hAnsi="Times New Roman" w:cs="Times New Roman"/>
          <w:sz w:val="24"/>
          <w:szCs w:val="24"/>
        </w:rPr>
        <w:t>A</w:t>
      </w:r>
      <w:r w:rsidR="00A50063" w:rsidRPr="00DB384A">
        <w:rPr>
          <w:rFonts w:ascii="Times New Roman" w:hAnsi="Times New Roman" w:cs="Times New Roman"/>
          <w:sz w:val="24"/>
          <w:szCs w:val="24"/>
        </w:rPr>
        <w:t xml:space="preserve"> Registered Indian</w:t>
      </w:r>
      <w:r w:rsidR="00092A8E" w:rsidRPr="00DB384A">
        <w:rPr>
          <w:rFonts w:ascii="Times New Roman" w:hAnsi="Times New Roman" w:cs="Times New Roman"/>
          <w:sz w:val="24"/>
          <w:szCs w:val="24"/>
        </w:rPr>
        <w:t xml:space="preserve"> woman who has been subject to violence from the father of her child</w:t>
      </w:r>
      <w:r w:rsidR="00E94897" w:rsidRPr="00DB384A">
        <w:rPr>
          <w:rFonts w:ascii="Times New Roman" w:hAnsi="Times New Roman" w:cs="Times New Roman"/>
          <w:sz w:val="24"/>
          <w:szCs w:val="24"/>
        </w:rPr>
        <w:t xml:space="preserve"> may justifiably </w:t>
      </w:r>
      <w:r w:rsidR="009237E9">
        <w:rPr>
          <w:rFonts w:ascii="Times New Roman" w:hAnsi="Times New Roman" w:cs="Times New Roman"/>
          <w:sz w:val="24"/>
          <w:szCs w:val="24"/>
        </w:rPr>
        <w:t>decide that</w:t>
      </w:r>
      <w:r w:rsidR="009237E9" w:rsidRPr="00DB384A">
        <w:rPr>
          <w:rFonts w:ascii="Times New Roman" w:hAnsi="Times New Roman" w:cs="Times New Roman"/>
          <w:sz w:val="24"/>
          <w:szCs w:val="24"/>
        </w:rPr>
        <w:t xml:space="preserve"> </w:t>
      </w:r>
      <w:r w:rsidR="00E94897" w:rsidRPr="00DB384A">
        <w:rPr>
          <w:rFonts w:ascii="Times New Roman" w:hAnsi="Times New Roman" w:cs="Times New Roman"/>
          <w:sz w:val="24"/>
          <w:szCs w:val="24"/>
        </w:rPr>
        <w:t>asking him to sign a birth registration form</w:t>
      </w:r>
      <w:r w:rsidR="00A420AE" w:rsidRPr="00DB384A">
        <w:rPr>
          <w:rFonts w:ascii="Times New Roman" w:hAnsi="Times New Roman" w:cs="Times New Roman"/>
          <w:sz w:val="24"/>
          <w:szCs w:val="24"/>
        </w:rPr>
        <w:t xml:space="preserve"> or to produce a statutory declaration</w:t>
      </w:r>
      <w:r w:rsidR="000A41C0" w:rsidRPr="00DB384A">
        <w:rPr>
          <w:rFonts w:ascii="Times New Roman" w:hAnsi="Times New Roman" w:cs="Times New Roman"/>
          <w:sz w:val="24"/>
          <w:szCs w:val="24"/>
        </w:rPr>
        <w:t xml:space="preserve"> of paternity</w:t>
      </w:r>
      <w:r w:rsidR="00FB3DF2" w:rsidRPr="00DB384A">
        <w:rPr>
          <w:rFonts w:ascii="Times New Roman" w:hAnsi="Times New Roman" w:cs="Times New Roman"/>
          <w:sz w:val="24"/>
          <w:szCs w:val="24"/>
        </w:rPr>
        <w:t xml:space="preserve"> </w:t>
      </w:r>
      <w:r w:rsidR="00BF421B" w:rsidRPr="00DB384A">
        <w:rPr>
          <w:rFonts w:ascii="Times New Roman" w:hAnsi="Times New Roman" w:cs="Times New Roman"/>
          <w:sz w:val="24"/>
          <w:szCs w:val="24"/>
        </w:rPr>
        <w:t>creates a</w:t>
      </w:r>
      <w:r w:rsidR="00096FF7" w:rsidRPr="00DB384A">
        <w:rPr>
          <w:rFonts w:ascii="Times New Roman" w:hAnsi="Times New Roman" w:cs="Times New Roman"/>
          <w:sz w:val="24"/>
          <w:szCs w:val="24"/>
        </w:rPr>
        <w:t>n unacceptable risk</w:t>
      </w:r>
      <w:r w:rsidR="000A41C0" w:rsidRPr="00DB384A">
        <w:rPr>
          <w:rFonts w:ascii="Times New Roman" w:hAnsi="Times New Roman" w:cs="Times New Roman"/>
          <w:sz w:val="24"/>
          <w:szCs w:val="24"/>
        </w:rPr>
        <w:t xml:space="preserve"> of continued violence.</w:t>
      </w:r>
      <w:r w:rsidR="00096FF7" w:rsidRPr="00DB384A">
        <w:rPr>
          <w:rFonts w:ascii="Times New Roman" w:hAnsi="Times New Roman" w:cs="Times New Roman"/>
          <w:sz w:val="24"/>
          <w:szCs w:val="24"/>
        </w:rPr>
        <w:t xml:space="preserve"> </w:t>
      </w:r>
    </w:p>
    <w:p w:rsidR="00970660" w:rsidRPr="00B94212" w:rsidRDefault="00BA0FFA" w:rsidP="00B94212">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result is </w:t>
      </w:r>
      <w:r w:rsidR="00310BE5" w:rsidRPr="00DB384A">
        <w:rPr>
          <w:rFonts w:ascii="Times New Roman" w:hAnsi="Times New Roman" w:cs="Times New Roman"/>
          <w:sz w:val="24"/>
          <w:szCs w:val="24"/>
        </w:rPr>
        <w:t>that s.6</w:t>
      </w:r>
      <w:r w:rsidR="007E1231">
        <w:rPr>
          <w:rFonts w:ascii="Times New Roman" w:hAnsi="Times New Roman" w:cs="Times New Roman"/>
          <w:sz w:val="24"/>
          <w:szCs w:val="24"/>
        </w:rPr>
        <w:t>,</w:t>
      </w:r>
      <w:r w:rsidR="00310BE5" w:rsidRPr="00DB384A">
        <w:rPr>
          <w:rFonts w:ascii="Times New Roman" w:hAnsi="Times New Roman" w:cs="Times New Roman"/>
          <w:sz w:val="24"/>
          <w:szCs w:val="24"/>
        </w:rPr>
        <w:t xml:space="preserve"> </w:t>
      </w:r>
      <w:r w:rsidR="009C7C30" w:rsidRPr="00DB384A">
        <w:rPr>
          <w:rFonts w:ascii="Times New Roman" w:hAnsi="Times New Roman" w:cs="Times New Roman"/>
          <w:sz w:val="24"/>
          <w:szCs w:val="24"/>
        </w:rPr>
        <w:t xml:space="preserve">as </w:t>
      </w:r>
      <w:r w:rsidR="007E1231">
        <w:rPr>
          <w:rFonts w:ascii="Times New Roman" w:hAnsi="Times New Roman" w:cs="Times New Roman"/>
          <w:sz w:val="24"/>
          <w:szCs w:val="24"/>
        </w:rPr>
        <w:t xml:space="preserve">it </w:t>
      </w:r>
      <w:proofErr w:type="gramStart"/>
      <w:r w:rsidR="007E1231">
        <w:rPr>
          <w:rFonts w:ascii="Times New Roman" w:hAnsi="Times New Roman" w:cs="Times New Roman"/>
          <w:sz w:val="24"/>
          <w:szCs w:val="24"/>
        </w:rPr>
        <w:t xml:space="preserve">has been </w:t>
      </w:r>
      <w:r w:rsidR="009C7C30" w:rsidRPr="00DB384A">
        <w:rPr>
          <w:rFonts w:ascii="Times New Roman" w:hAnsi="Times New Roman" w:cs="Times New Roman"/>
          <w:sz w:val="24"/>
          <w:szCs w:val="24"/>
        </w:rPr>
        <w:t>implemented</w:t>
      </w:r>
      <w:proofErr w:type="gramEnd"/>
      <w:r w:rsidR="009C7C30" w:rsidRPr="00DB384A">
        <w:rPr>
          <w:rFonts w:ascii="Times New Roman" w:hAnsi="Times New Roman" w:cs="Times New Roman"/>
          <w:sz w:val="24"/>
          <w:szCs w:val="24"/>
        </w:rPr>
        <w:t xml:space="preserve"> by the Policy</w:t>
      </w:r>
      <w:r w:rsidR="007E1231">
        <w:rPr>
          <w:rFonts w:ascii="Times New Roman" w:hAnsi="Times New Roman" w:cs="Times New Roman"/>
          <w:sz w:val="24"/>
          <w:szCs w:val="24"/>
        </w:rPr>
        <w:t>,</w:t>
      </w:r>
      <w:r w:rsidR="009C7C30" w:rsidRPr="00DB384A">
        <w:rPr>
          <w:rFonts w:ascii="Times New Roman" w:hAnsi="Times New Roman" w:cs="Times New Roman"/>
          <w:sz w:val="24"/>
          <w:szCs w:val="24"/>
        </w:rPr>
        <w:t xml:space="preserve"> </w:t>
      </w:r>
      <w:r w:rsidR="00DA24DC">
        <w:rPr>
          <w:rFonts w:ascii="Times New Roman" w:hAnsi="Times New Roman" w:cs="Times New Roman"/>
          <w:sz w:val="24"/>
          <w:szCs w:val="24"/>
        </w:rPr>
        <w:t>applies</w:t>
      </w:r>
      <w:r w:rsidR="009237E9">
        <w:rPr>
          <w:rFonts w:ascii="Times New Roman" w:hAnsi="Times New Roman" w:cs="Times New Roman"/>
          <w:sz w:val="24"/>
          <w:szCs w:val="24"/>
        </w:rPr>
        <w:t xml:space="preserve"> </w:t>
      </w:r>
      <w:r w:rsidR="00FB3DF2" w:rsidRPr="00DB384A">
        <w:rPr>
          <w:rFonts w:ascii="Times New Roman" w:hAnsi="Times New Roman" w:cs="Times New Roman"/>
          <w:sz w:val="24"/>
          <w:szCs w:val="24"/>
        </w:rPr>
        <w:t xml:space="preserve">uniquely </w:t>
      </w:r>
      <w:r w:rsidR="009237E9">
        <w:rPr>
          <w:rFonts w:ascii="Times New Roman" w:hAnsi="Times New Roman" w:cs="Times New Roman"/>
          <w:sz w:val="24"/>
          <w:szCs w:val="24"/>
        </w:rPr>
        <w:t xml:space="preserve">to </w:t>
      </w:r>
      <w:r w:rsidR="009C7C30" w:rsidRPr="00DB384A">
        <w:rPr>
          <w:rFonts w:ascii="Times New Roman" w:hAnsi="Times New Roman" w:cs="Times New Roman"/>
          <w:sz w:val="24"/>
          <w:szCs w:val="24"/>
        </w:rPr>
        <w:t>Registered Indian women</w:t>
      </w:r>
      <w:r w:rsidRPr="00DB384A">
        <w:rPr>
          <w:rFonts w:ascii="Times New Roman" w:hAnsi="Times New Roman" w:cs="Times New Roman"/>
          <w:sz w:val="24"/>
          <w:szCs w:val="24"/>
        </w:rPr>
        <w:t>.</w:t>
      </w:r>
      <w:r w:rsidR="00970660" w:rsidRPr="00DB384A">
        <w:rPr>
          <w:rFonts w:ascii="Times New Roman" w:hAnsi="Times New Roman" w:cs="Times New Roman"/>
        </w:rPr>
        <w:t xml:space="preserve"> </w:t>
      </w:r>
      <w:proofErr w:type="gramStart"/>
      <w:r w:rsidR="00970660" w:rsidRPr="00DB384A">
        <w:rPr>
          <w:rFonts w:ascii="Times New Roman" w:hAnsi="Times New Roman" w:cs="Times New Roman"/>
          <w:sz w:val="24"/>
          <w:szCs w:val="24"/>
        </w:rPr>
        <w:t>It is difficult to provide a comprehensive account of how many</w:t>
      </w:r>
      <w:r w:rsidR="00676A07" w:rsidRPr="00DB384A">
        <w:rPr>
          <w:rFonts w:ascii="Times New Roman" w:hAnsi="Times New Roman" w:cs="Times New Roman"/>
          <w:sz w:val="24"/>
          <w:szCs w:val="24"/>
        </w:rPr>
        <w:t xml:space="preserve"> Registered Indian</w:t>
      </w:r>
      <w:r w:rsidR="00970660" w:rsidRPr="00DB384A">
        <w:rPr>
          <w:rFonts w:ascii="Times New Roman" w:hAnsi="Times New Roman" w:cs="Times New Roman"/>
          <w:sz w:val="24"/>
          <w:szCs w:val="24"/>
        </w:rPr>
        <w:t xml:space="preserve"> women are </w:t>
      </w:r>
      <w:r w:rsidR="00C86FAA">
        <w:rPr>
          <w:rFonts w:ascii="Times New Roman" w:hAnsi="Times New Roman" w:cs="Times New Roman"/>
          <w:sz w:val="24"/>
          <w:szCs w:val="24"/>
        </w:rPr>
        <w:t>unable or effectively unable</w:t>
      </w:r>
      <w:r w:rsidRPr="00DB384A">
        <w:rPr>
          <w:rFonts w:ascii="Times New Roman" w:hAnsi="Times New Roman" w:cs="Times New Roman"/>
          <w:sz w:val="24"/>
          <w:szCs w:val="24"/>
        </w:rPr>
        <w:t xml:space="preserve"> to </w:t>
      </w:r>
      <w:r w:rsidR="00BB7670">
        <w:rPr>
          <w:rFonts w:ascii="Times New Roman" w:hAnsi="Times New Roman" w:cs="Times New Roman"/>
          <w:sz w:val="24"/>
          <w:szCs w:val="24"/>
        </w:rPr>
        <w:t>prove</w:t>
      </w:r>
      <w:r w:rsidRPr="00DB384A">
        <w:rPr>
          <w:rFonts w:ascii="Times New Roman" w:hAnsi="Times New Roman" w:cs="Times New Roman"/>
          <w:sz w:val="24"/>
          <w:szCs w:val="24"/>
        </w:rPr>
        <w:t xml:space="preserve"> the paternity of their child</w:t>
      </w:r>
      <w:r w:rsidR="00970660" w:rsidRPr="00DB384A">
        <w:rPr>
          <w:rFonts w:ascii="Times New Roman" w:hAnsi="Times New Roman" w:cs="Times New Roman"/>
          <w:sz w:val="24"/>
          <w:szCs w:val="24"/>
        </w:rPr>
        <w:t xml:space="preserve">, since the Registrar has </w:t>
      </w:r>
      <w:r w:rsidR="009237E9">
        <w:rPr>
          <w:rFonts w:ascii="Times New Roman" w:hAnsi="Times New Roman" w:cs="Times New Roman"/>
          <w:sz w:val="24"/>
          <w:szCs w:val="24"/>
        </w:rPr>
        <w:t xml:space="preserve">a </w:t>
      </w:r>
      <w:r w:rsidR="00970660" w:rsidRPr="00DB384A">
        <w:rPr>
          <w:rFonts w:ascii="Times New Roman" w:hAnsi="Times New Roman" w:cs="Times New Roman"/>
          <w:sz w:val="24"/>
          <w:szCs w:val="24"/>
        </w:rPr>
        <w:t>record only of those women who successfully register their child</w:t>
      </w:r>
      <w:r w:rsidR="00DA6857" w:rsidRPr="00DB384A">
        <w:rPr>
          <w:rFonts w:ascii="Times New Roman" w:hAnsi="Times New Roman" w:cs="Times New Roman"/>
          <w:sz w:val="24"/>
          <w:szCs w:val="24"/>
        </w:rPr>
        <w:t xml:space="preserve"> </w:t>
      </w:r>
      <w:r w:rsidR="00970660" w:rsidRPr="00DB384A">
        <w:rPr>
          <w:rFonts w:ascii="Times New Roman" w:hAnsi="Times New Roman" w:cs="Times New Roman"/>
          <w:sz w:val="24"/>
          <w:szCs w:val="24"/>
        </w:rPr>
        <w:t xml:space="preserve">– that is, only those women who are registered pursuant to s. 6(1), and who </w:t>
      </w:r>
      <w:r w:rsidR="00FB3DF2" w:rsidRPr="00DB384A">
        <w:rPr>
          <w:rFonts w:ascii="Times New Roman" w:hAnsi="Times New Roman" w:cs="Times New Roman"/>
          <w:sz w:val="24"/>
          <w:szCs w:val="24"/>
        </w:rPr>
        <w:t xml:space="preserve">thus </w:t>
      </w:r>
      <w:r w:rsidR="00970660" w:rsidRPr="00DB384A">
        <w:rPr>
          <w:rFonts w:ascii="Times New Roman" w:hAnsi="Times New Roman" w:cs="Times New Roman"/>
          <w:sz w:val="24"/>
          <w:szCs w:val="24"/>
        </w:rPr>
        <w:t>may register their children pursuant to s. 6(2)</w:t>
      </w:r>
      <w:r w:rsidRPr="00DB384A">
        <w:rPr>
          <w:rFonts w:ascii="Times New Roman" w:hAnsi="Times New Roman" w:cs="Times New Roman"/>
          <w:sz w:val="24"/>
          <w:szCs w:val="24"/>
        </w:rPr>
        <w:t xml:space="preserve"> without identifying the </w:t>
      </w:r>
      <w:r w:rsidR="001A1C3C">
        <w:rPr>
          <w:rFonts w:ascii="Times New Roman" w:hAnsi="Times New Roman" w:cs="Times New Roman"/>
          <w:sz w:val="24"/>
          <w:szCs w:val="24"/>
        </w:rPr>
        <w:t xml:space="preserve">child’s </w:t>
      </w:r>
      <w:r w:rsidRPr="00DB384A">
        <w:rPr>
          <w:rFonts w:ascii="Times New Roman" w:hAnsi="Times New Roman" w:cs="Times New Roman"/>
          <w:sz w:val="24"/>
          <w:szCs w:val="24"/>
        </w:rPr>
        <w:t>father</w:t>
      </w:r>
      <w:r w:rsidR="00033C07">
        <w:rPr>
          <w:rFonts w:ascii="Times New Roman" w:hAnsi="Times New Roman" w:cs="Times New Roman"/>
          <w:sz w:val="24"/>
          <w:szCs w:val="24"/>
        </w:rPr>
        <w:t>.</w:t>
      </w:r>
      <w:r w:rsidR="00B94212" w:rsidRPr="00DB384A">
        <w:rPr>
          <w:rStyle w:val="FootnoteReference"/>
          <w:rFonts w:ascii="Times New Roman" w:hAnsi="Times New Roman" w:cs="Times New Roman"/>
          <w:sz w:val="24"/>
          <w:szCs w:val="24"/>
        </w:rPr>
        <w:footnoteReference w:id="28"/>
      </w:r>
      <w:proofErr w:type="gramEnd"/>
      <w:r w:rsidR="00B94212">
        <w:rPr>
          <w:rFonts w:ascii="Times New Roman" w:hAnsi="Times New Roman" w:cs="Times New Roman"/>
          <w:sz w:val="24"/>
          <w:szCs w:val="24"/>
        </w:rPr>
        <w:t xml:space="preserve"> However, the experts called to give evidence in this case agree</w:t>
      </w:r>
      <w:r w:rsidR="00FE66B6">
        <w:rPr>
          <w:rFonts w:ascii="Times New Roman" w:hAnsi="Times New Roman" w:cs="Times New Roman"/>
          <w:sz w:val="24"/>
          <w:szCs w:val="24"/>
        </w:rPr>
        <w:t>d</w:t>
      </w:r>
      <w:r w:rsidR="00B94212">
        <w:rPr>
          <w:rFonts w:ascii="Times New Roman" w:hAnsi="Times New Roman" w:cs="Times New Roman"/>
          <w:sz w:val="24"/>
          <w:szCs w:val="24"/>
        </w:rPr>
        <w:t xml:space="preserve"> that </w:t>
      </w:r>
      <w:r w:rsidR="005160D4">
        <w:rPr>
          <w:rFonts w:ascii="Times New Roman" w:hAnsi="Times New Roman" w:cs="Times New Roman"/>
          <w:sz w:val="24"/>
          <w:szCs w:val="24"/>
        </w:rPr>
        <w:t xml:space="preserve">there were </w:t>
      </w:r>
      <w:r w:rsidR="00B94212">
        <w:rPr>
          <w:rFonts w:ascii="Times New Roman" w:hAnsi="Times New Roman" w:cs="Times New Roman"/>
          <w:sz w:val="24"/>
          <w:szCs w:val="24"/>
        </w:rPr>
        <w:t xml:space="preserve">approximately 46,060 children born to women registered under s. 6(1) </w:t>
      </w:r>
      <w:r w:rsidR="003B0103">
        <w:rPr>
          <w:rFonts w:ascii="Times New Roman" w:hAnsi="Times New Roman" w:cs="Times New Roman"/>
          <w:sz w:val="24"/>
          <w:szCs w:val="24"/>
        </w:rPr>
        <w:t>with</w:t>
      </w:r>
      <w:r w:rsidR="00B94212">
        <w:rPr>
          <w:rFonts w:ascii="Times New Roman" w:hAnsi="Times New Roman" w:cs="Times New Roman"/>
          <w:sz w:val="24"/>
          <w:szCs w:val="24"/>
        </w:rPr>
        <w:t xml:space="preserve"> “unstated” fathers</w:t>
      </w:r>
      <w:r w:rsidR="005160D4">
        <w:rPr>
          <w:rFonts w:ascii="Times New Roman" w:hAnsi="Times New Roman" w:cs="Times New Roman"/>
          <w:sz w:val="24"/>
          <w:szCs w:val="24"/>
        </w:rPr>
        <w:t xml:space="preserve"> </w:t>
      </w:r>
      <w:r w:rsidR="0092249D">
        <w:rPr>
          <w:rFonts w:ascii="Times New Roman" w:hAnsi="Times New Roman" w:cs="Times New Roman"/>
          <w:sz w:val="24"/>
          <w:szCs w:val="24"/>
        </w:rPr>
        <w:t>as of</w:t>
      </w:r>
      <w:r w:rsidR="00B94212">
        <w:rPr>
          <w:rFonts w:ascii="Times New Roman" w:hAnsi="Times New Roman" w:cs="Times New Roman"/>
          <w:sz w:val="24"/>
          <w:szCs w:val="24"/>
        </w:rPr>
        <w:t xml:space="preserve"> December 31, </w:t>
      </w:r>
      <w:r w:rsidR="00B94212" w:rsidRPr="00FE66B6">
        <w:rPr>
          <w:rFonts w:ascii="Times New Roman" w:hAnsi="Times New Roman" w:cs="Times New Roman"/>
          <w:sz w:val="24"/>
          <w:szCs w:val="24"/>
        </w:rPr>
        <w:t>2004.</w:t>
      </w:r>
      <w:r w:rsidR="00B94212" w:rsidRPr="00FE66B6">
        <w:rPr>
          <w:rStyle w:val="FootnoteReference"/>
          <w:rFonts w:ascii="Times New Roman" w:hAnsi="Times New Roman" w:cs="Times New Roman"/>
          <w:sz w:val="24"/>
          <w:szCs w:val="24"/>
        </w:rPr>
        <w:footnoteReference w:id="29"/>
      </w:r>
      <w:r w:rsidR="00FE66B6" w:rsidRPr="00FE66B6">
        <w:rPr>
          <w:rFonts w:ascii="Times New Roman" w:hAnsi="Times New Roman" w:cs="Times New Roman"/>
          <w:sz w:val="24"/>
          <w:szCs w:val="24"/>
        </w:rPr>
        <w:t xml:space="preserve"> </w:t>
      </w:r>
      <w:r w:rsidR="00033C07" w:rsidRPr="00FE66B6">
        <w:rPr>
          <w:rFonts w:ascii="Times New Roman" w:hAnsi="Times New Roman" w:cs="Times New Roman"/>
          <w:sz w:val="24"/>
          <w:szCs w:val="24"/>
        </w:rPr>
        <w:t>This</w:t>
      </w:r>
      <w:r w:rsidR="00033C07">
        <w:rPr>
          <w:rFonts w:ascii="Times New Roman" w:hAnsi="Times New Roman" w:cs="Times New Roman"/>
          <w:sz w:val="24"/>
          <w:szCs w:val="24"/>
        </w:rPr>
        <w:t xml:space="preserve"> represents approximately </w:t>
      </w:r>
      <w:r w:rsidR="00B94212">
        <w:rPr>
          <w:rFonts w:ascii="Times New Roman" w:hAnsi="Times New Roman" w:cs="Times New Roman"/>
          <w:sz w:val="24"/>
          <w:szCs w:val="24"/>
        </w:rPr>
        <w:t xml:space="preserve">19% of </w:t>
      </w:r>
      <w:r w:rsidR="00970660" w:rsidRPr="00B94212">
        <w:rPr>
          <w:rFonts w:ascii="Times New Roman" w:hAnsi="Times New Roman" w:cs="Times New Roman"/>
          <w:sz w:val="24"/>
          <w:szCs w:val="24"/>
        </w:rPr>
        <w:t>children born to women registered under s. 6(1</w:t>
      </w:r>
      <w:r w:rsidR="00033C07">
        <w:rPr>
          <w:rFonts w:ascii="Times New Roman" w:hAnsi="Times New Roman" w:cs="Times New Roman"/>
          <w:sz w:val="24"/>
          <w:szCs w:val="24"/>
        </w:rPr>
        <w:t>)</w:t>
      </w:r>
      <w:r w:rsidR="00970660" w:rsidRPr="00B94212">
        <w:rPr>
          <w:rFonts w:ascii="Times New Roman" w:hAnsi="Times New Roman" w:cs="Times New Roman"/>
          <w:sz w:val="24"/>
          <w:szCs w:val="24"/>
        </w:rPr>
        <w:t>.</w:t>
      </w:r>
      <w:r w:rsidR="00970660" w:rsidRPr="00DB384A">
        <w:rPr>
          <w:rStyle w:val="FootnoteReference"/>
          <w:rFonts w:ascii="Times New Roman" w:hAnsi="Times New Roman" w:cs="Times New Roman"/>
          <w:sz w:val="24"/>
          <w:szCs w:val="24"/>
        </w:rPr>
        <w:footnoteReference w:id="30"/>
      </w:r>
      <w:r w:rsidR="00840C8A" w:rsidRPr="00B94212">
        <w:rPr>
          <w:rFonts w:ascii="Times New Roman" w:hAnsi="Times New Roman" w:cs="Times New Roman"/>
          <w:sz w:val="24"/>
          <w:szCs w:val="24"/>
        </w:rPr>
        <w:t xml:space="preserve"> </w:t>
      </w:r>
      <w:r w:rsidR="003B0103">
        <w:rPr>
          <w:rFonts w:ascii="Times New Roman" w:hAnsi="Times New Roman" w:cs="Times New Roman"/>
          <w:sz w:val="24"/>
          <w:szCs w:val="24"/>
        </w:rPr>
        <w:t>They estimate that a further</w:t>
      </w:r>
      <w:r w:rsidR="00033C07">
        <w:rPr>
          <w:rFonts w:ascii="Times New Roman" w:hAnsi="Times New Roman" w:cs="Times New Roman"/>
          <w:sz w:val="24"/>
          <w:szCs w:val="24"/>
        </w:rPr>
        <w:t xml:space="preserve"> 14,735 children born to women registered under s. 6(2)</w:t>
      </w:r>
      <w:r w:rsidR="003B0103">
        <w:rPr>
          <w:rFonts w:ascii="Times New Roman" w:hAnsi="Times New Roman" w:cs="Times New Roman"/>
          <w:sz w:val="24"/>
          <w:szCs w:val="24"/>
        </w:rPr>
        <w:t xml:space="preserve"> were ineligible for registration in the same period because of unknown or unstated paternity</w:t>
      </w:r>
      <w:r w:rsidR="003B0103" w:rsidRPr="00FE66B6">
        <w:rPr>
          <w:rFonts w:ascii="Times New Roman" w:hAnsi="Times New Roman" w:cs="Times New Roman"/>
          <w:sz w:val="24"/>
          <w:szCs w:val="24"/>
        </w:rPr>
        <w:t>.</w:t>
      </w:r>
      <w:r w:rsidR="003B0103" w:rsidRPr="00FE66B6">
        <w:rPr>
          <w:rStyle w:val="FootnoteReference"/>
          <w:rFonts w:ascii="Times New Roman" w:hAnsi="Times New Roman" w:cs="Times New Roman"/>
          <w:sz w:val="24"/>
          <w:szCs w:val="24"/>
        </w:rPr>
        <w:footnoteReference w:id="31"/>
      </w:r>
      <w:r w:rsidR="00033C07" w:rsidRPr="00FE66B6">
        <w:rPr>
          <w:rFonts w:ascii="Times New Roman" w:hAnsi="Times New Roman" w:cs="Times New Roman"/>
          <w:sz w:val="24"/>
          <w:szCs w:val="24"/>
        </w:rPr>
        <w:t xml:space="preserve"> </w:t>
      </w:r>
      <w:r w:rsidR="000A41C0" w:rsidRPr="00FE66B6">
        <w:rPr>
          <w:rFonts w:ascii="Times New Roman" w:hAnsi="Times New Roman" w:cs="Times New Roman"/>
          <w:sz w:val="24"/>
          <w:szCs w:val="24"/>
        </w:rPr>
        <w:t>The</w:t>
      </w:r>
      <w:r w:rsidR="00033C07" w:rsidRPr="00FE66B6">
        <w:rPr>
          <w:rFonts w:ascii="Times New Roman" w:hAnsi="Times New Roman" w:cs="Times New Roman"/>
          <w:sz w:val="24"/>
          <w:szCs w:val="24"/>
        </w:rPr>
        <w:t>re is no evidence</w:t>
      </w:r>
      <w:r w:rsidR="00033C07">
        <w:rPr>
          <w:rFonts w:ascii="Times New Roman" w:hAnsi="Times New Roman" w:cs="Times New Roman"/>
          <w:sz w:val="24"/>
          <w:szCs w:val="24"/>
        </w:rPr>
        <w:t xml:space="preserve"> of any Registered Indian</w:t>
      </w:r>
      <w:r w:rsidR="00840C8A" w:rsidRPr="00B94212">
        <w:rPr>
          <w:rFonts w:ascii="Times New Roman" w:hAnsi="Times New Roman" w:cs="Times New Roman"/>
          <w:sz w:val="24"/>
          <w:szCs w:val="24"/>
        </w:rPr>
        <w:t xml:space="preserve"> men</w:t>
      </w:r>
      <w:r w:rsidR="004A51A5" w:rsidRPr="00B94212">
        <w:rPr>
          <w:rFonts w:ascii="Times New Roman" w:hAnsi="Times New Roman" w:cs="Times New Roman"/>
          <w:sz w:val="24"/>
          <w:szCs w:val="24"/>
        </w:rPr>
        <w:t xml:space="preserve"> who were unable to identify the mother of their child for the purposes of registration</w:t>
      </w:r>
      <w:r w:rsidR="00840C8A" w:rsidRPr="00B94212">
        <w:rPr>
          <w:rFonts w:ascii="Times New Roman" w:hAnsi="Times New Roman" w:cs="Times New Roman"/>
          <w:sz w:val="24"/>
          <w:szCs w:val="24"/>
        </w:rPr>
        <w:t xml:space="preserve">. </w:t>
      </w:r>
    </w:p>
    <w:p w:rsidR="00BF78CE" w:rsidRPr="00DB384A" w:rsidRDefault="00F3619E"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In spite of this, </w:t>
      </w:r>
      <w:r w:rsidR="00CF3509" w:rsidRPr="00DB384A">
        <w:rPr>
          <w:rFonts w:ascii="Times New Roman" w:hAnsi="Times New Roman" w:cs="Times New Roman"/>
          <w:sz w:val="24"/>
          <w:szCs w:val="24"/>
        </w:rPr>
        <w:t xml:space="preserve">Stewart J. </w:t>
      </w:r>
      <w:proofErr w:type="gramStart"/>
      <w:r w:rsidR="00CF3509" w:rsidRPr="00DB384A">
        <w:rPr>
          <w:rFonts w:ascii="Times New Roman" w:hAnsi="Times New Roman" w:cs="Times New Roman"/>
          <w:sz w:val="24"/>
          <w:szCs w:val="24"/>
        </w:rPr>
        <w:t>concluded that</w:t>
      </w:r>
      <w:proofErr w:type="gramEnd"/>
      <w:r w:rsidR="00CF3509" w:rsidRPr="00DB384A">
        <w:rPr>
          <w:rFonts w:ascii="Times New Roman" w:hAnsi="Times New Roman" w:cs="Times New Roman"/>
          <w:sz w:val="24"/>
          <w:szCs w:val="24"/>
        </w:rPr>
        <w:t xml:space="preserve"> “unknowable paternity is not an analogous ground”</w:t>
      </w:r>
      <w:r w:rsidR="00067CA5">
        <w:rPr>
          <w:rFonts w:ascii="Times New Roman" w:hAnsi="Times New Roman" w:cs="Times New Roman"/>
          <w:sz w:val="24"/>
          <w:szCs w:val="24"/>
        </w:rPr>
        <w:t xml:space="preserve"> and the “impugned provisions… </w:t>
      </w:r>
      <w:r w:rsidR="000B455D" w:rsidRPr="00DB384A">
        <w:rPr>
          <w:rFonts w:ascii="Times New Roman" w:hAnsi="Times New Roman" w:cs="Times New Roman"/>
          <w:sz w:val="24"/>
          <w:szCs w:val="24"/>
        </w:rPr>
        <w:t>treat all applicants the same</w:t>
      </w:r>
      <w:r w:rsidR="00CF3509" w:rsidRPr="00DB384A">
        <w:rPr>
          <w:rFonts w:ascii="Times New Roman" w:hAnsi="Times New Roman" w:cs="Times New Roman"/>
          <w:sz w:val="24"/>
          <w:szCs w:val="24"/>
        </w:rPr>
        <w:t>.</w:t>
      </w:r>
      <w:r w:rsidR="000B455D" w:rsidRPr="00DB384A">
        <w:rPr>
          <w:rFonts w:ascii="Times New Roman" w:hAnsi="Times New Roman" w:cs="Times New Roman"/>
          <w:sz w:val="24"/>
          <w:szCs w:val="24"/>
        </w:rPr>
        <w:t>”</w:t>
      </w:r>
      <w:r w:rsidR="00CF3509" w:rsidRPr="00DB384A">
        <w:rPr>
          <w:rStyle w:val="FootnoteReference"/>
          <w:rFonts w:ascii="Times New Roman" w:hAnsi="Times New Roman" w:cs="Times New Roman"/>
          <w:sz w:val="24"/>
          <w:szCs w:val="24"/>
        </w:rPr>
        <w:footnoteReference w:id="32"/>
      </w:r>
      <w:r w:rsidR="007B5714" w:rsidRPr="00DB384A">
        <w:rPr>
          <w:rFonts w:ascii="Times New Roman" w:hAnsi="Times New Roman" w:cs="Times New Roman"/>
          <w:sz w:val="24"/>
          <w:szCs w:val="24"/>
        </w:rPr>
        <w:t xml:space="preserve"> </w:t>
      </w:r>
      <w:r w:rsidR="001E336A" w:rsidRPr="00DB384A">
        <w:rPr>
          <w:rFonts w:ascii="Times New Roman" w:hAnsi="Times New Roman" w:cs="Times New Roman"/>
          <w:sz w:val="24"/>
          <w:szCs w:val="24"/>
        </w:rPr>
        <w:t>By failing to</w:t>
      </w:r>
      <w:r w:rsidR="008228D5" w:rsidRPr="00DB384A">
        <w:rPr>
          <w:rFonts w:ascii="Times New Roman" w:hAnsi="Times New Roman" w:cs="Times New Roman"/>
          <w:sz w:val="24"/>
          <w:szCs w:val="24"/>
        </w:rPr>
        <w:t xml:space="preserve"> </w:t>
      </w:r>
      <w:r w:rsidR="00C348D8" w:rsidRPr="00DB384A">
        <w:rPr>
          <w:rFonts w:ascii="Times New Roman" w:hAnsi="Times New Roman" w:cs="Times New Roman"/>
          <w:sz w:val="24"/>
          <w:szCs w:val="24"/>
        </w:rPr>
        <w:t>recognize the</w:t>
      </w:r>
      <w:r w:rsidR="008228D5" w:rsidRPr="00DB384A">
        <w:rPr>
          <w:rFonts w:ascii="Times New Roman" w:hAnsi="Times New Roman" w:cs="Times New Roman"/>
          <w:sz w:val="24"/>
          <w:szCs w:val="24"/>
        </w:rPr>
        <w:t xml:space="preserve"> </w:t>
      </w:r>
      <w:r w:rsidR="008D47BF">
        <w:rPr>
          <w:rFonts w:ascii="Times New Roman" w:hAnsi="Times New Roman" w:cs="Times New Roman"/>
          <w:sz w:val="24"/>
          <w:szCs w:val="24"/>
        </w:rPr>
        <w:t>inevitable</w:t>
      </w:r>
      <w:r w:rsidR="008D47BF" w:rsidRPr="00DB384A">
        <w:rPr>
          <w:rFonts w:ascii="Times New Roman" w:hAnsi="Times New Roman" w:cs="Times New Roman"/>
          <w:sz w:val="24"/>
          <w:szCs w:val="24"/>
        </w:rPr>
        <w:t xml:space="preserve"> </w:t>
      </w:r>
      <w:r w:rsidR="008228D5" w:rsidRPr="00DB384A">
        <w:rPr>
          <w:rFonts w:ascii="Times New Roman" w:hAnsi="Times New Roman" w:cs="Times New Roman"/>
          <w:sz w:val="24"/>
          <w:szCs w:val="24"/>
        </w:rPr>
        <w:t>relationship between unstated or unknow</w:t>
      </w:r>
      <w:r w:rsidR="001A1C3C">
        <w:rPr>
          <w:rFonts w:ascii="Times New Roman" w:hAnsi="Times New Roman" w:cs="Times New Roman"/>
          <w:sz w:val="24"/>
          <w:szCs w:val="24"/>
        </w:rPr>
        <w:t>n</w:t>
      </w:r>
      <w:r w:rsidR="008228D5" w:rsidRPr="00DB384A">
        <w:rPr>
          <w:rFonts w:ascii="Times New Roman" w:hAnsi="Times New Roman" w:cs="Times New Roman"/>
          <w:sz w:val="24"/>
          <w:szCs w:val="24"/>
        </w:rPr>
        <w:t xml:space="preserve"> paternity and </w:t>
      </w:r>
      <w:r w:rsidR="00572284" w:rsidRPr="00DB384A">
        <w:rPr>
          <w:rFonts w:ascii="Times New Roman" w:hAnsi="Times New Roman" w:cs="Times New Roman"/>
          <w:sz w:val="24"/>
          <w:szCs w:val="24"/>
        </w:rPr>
        <w:t>sex,</w:t>
      </w:r>
      <w:r w:rsidR="001E336A" w:rsidRPr="00DB384A">
        <w:rPr>
          <w:rFonts w:ascii="Times New Roman" w:hAnsi="Times New Roman" w:cs="Times New Roman"/>
          <w:sz w:val="24"/>
          <w:szCs w:val="24"/>
        </w:rPr>
        <w:t xml:space="preserve"> her </w:t>
      </w:r>
      <w:r w:rsidR="001E336A" w:rsidRPr="00DB384A">
        <w:rPr>
          <w:rFonts w:ascii="Times New Roman" w:hAnsi="Times New Roman" w:cs="Times New Roman"/>
          <w:sz w:val="24"/>
          <w:szCs w:val="24"/>
        </w:rPr>
        <w:lastRenderedPageBreak/>
        <w:t>reasons replicate</w:t>
      </w:r>
      <w:r w:rsidR="0021691B" w:rsidRPr="00DB384A">
        <w:rPr>
          <w:rFonts w:ascii="Times New Roman" w:hAnsi="Times New Roman" w:cs="Times New Roman"/>
          <w:sz w:val="24"/>
          <w:szCs w:val="24"/>
        </w:rPr>
        <w:t xml:space="preserve"> the</w:t>
      </w:r>
      <w:r w:rsidR="00BF7AAA" w:rsidRPr="00DB384A">
        <w:rPr>
          <w:rFonts w:ascii="Times New Roman" w:hAnsi="Times New Roman" w:cs="Times New Roman"/>
          <w:sz w:val="24"/>
          <w:szCs w:val="24"/>
        </w:rPr>
        <w:t xml:space="preserve"> formalistic and narrow approach </w:t>
      </w:r>
      <w:r w:rsidR="001E336A" w:rsidRPr="00DB384A">
        <w:rPr>
          <w:rFonts w:ascii="Times New Roman" w:hAnsi="Times New Roman" w:cs="Times New Roman"/>
          <w:sz w:val="24"/>
          <w:szCs w:val="24"/>
        </w:rPr>
        <w:t>to equality in</w:t>
      </w:r>
      <w:r w:rsidR="00BF7AAA" w:rsidRPr="00DB384A">
        <w:rPr>
          <w:rFonts w:ascii="Times New Roman" w:hAnsi="Times New Roman" w:cs="Times New Roman"/>
          <w:sz w:val="24"/>
          <w:szCs w:val="24"/>
        </w:rPr>
        <w:t xml:space="preserve"> </w:t>
      </w:r>
      <w:r w:rsidR="00BF7AAA" w:rsidRPr="00DB384A">
        <w:rPr>
          <w:rFonts w:ascii="Times New Roman" w:hAnsi="Times New Roman" w:cs="Times New Roman"/>
          <w:i/>
          <w:sz w:val="24"/>
          <w:szCs w:val="24"/>
        </w:rPr>
        <w:t>Bli</w:t>
      </w:r>
      <w:r w:rsidR="001A1C3C">
        <w:rPr>
          <w:rFonts w:ascii="Times New Roman" w:hAnsi="Times New Roman" w:cs="Times New Roman"/>
          <w:i/>
          <w:sz w:val="24"/>
          <w:szCs w:val="24"/>
        </w:rPr>
        <w:t>ss v</w:t>
      </w:r>
      <w:r w:rsidR="00296378" w:rsidRPr="00DB384A">
        <w:rPr>
          <w:rFonts w:ascii="Times New Roman" w:hAnsi="Times New Roman" w:cs="Times New Roman"/>
          <w:i/>
          <w:sz w:val="24"/>
          <w:szCs w:val="24"/>
        </w:rPr>
        <w:t xml:space="preserve"> Canada (Attorney General)</w:t>
      </w:r>
      <w:r w:rsidR="000A41C0" w:rsidRPr="00DB384A">
        <w:rPr>
          <w:rFonts w:ascii="Times New Roman" w:hAnsi="Times New Roman" w:cs="Times New Roman"/>
          <w:sz w:val="24"/>
          <w:szCs w:val="24"/>
        </w:rPr>
        <w:t>.</w:t>
      </w:r>
      <w:r w:rsidR="001E336A" w:rsidRPr="00DB384A">
        <w:rPr>
          <w:rFonts w:ascii="Times New Roman" w:hAnsi="Times New Roman" w:cs="Times New Roman"/>
          <w:sz w:val="24"/>
          <w:szCs w:val="24"/>
        </w:rPr>
        <w:t xml:space="preserve"> </w:t>
      </w:r>
      <w:r w:rsidR="00296378" w:rsidRPr="00DB384A">
        <w:rPr>
          <w:rFonts w:ascii="Times New Roman" w:hAnsi="Times New Roman" w:cs="Times New Roman"/>
          <w:sz w:val="24"/>
          <w:szCs w:val="24"/>
        </w:rPr>
        <w:t xml:space="preserve">At issue in </w:t>
      </w:r>
      <w:r w:rsidR="00296378" w:rsidRPr="00DB384A">
        <w:rPr>
          <w:rFonts w:ascii="Times New Roman" w:hAnsi="Times New Roman" w:cs="Times New Roman"/>
          <w:i/>
          <w:sz w:val="24"/>
          <w:szCs w:val="24"/>
        </w:rPr>
        <w:t>Bliss</w:t>
      </w:r>
      <w:r w:rsidR="00BF78CE" w:rsidRPr="00DB384A">
        <w:rPr>
          <w:rFonts w:ascii="Times New Roman" w:hAnsi="Times New Roman" w:cs="Times New Roman"/>
          <w:sz w:val="24"/>
          <w:szCs w:val="24"/>
        </w:rPr>
        <w:t xml:space="preserve"> were provisions in the </w:t>
      </w:r>
      <w:r w:rsidR="00BF78CE" w:rsidRPr="00DB384A">
        <w:rPr>
          <w:rFonts w:ascii="Times New Roman" w:hAnsi="Times New Roman" w:cs="Times New Roman"/>
          <w:i/>
          <w:sz w:val="24"/>
          <w:szCs w:val="24"/>
        </w:rPr>
        <w:t>Unemployment Insurance Act</w:t>
      </w:r>
      <w:r w:rsidR="00A420AE" w:rsidRPr="00DB384A">
        <w:rPr>
          <w:rFonts w:ascii="Times New Roman" w:hAnsi="Times New Roman" w:cs="Times New Roman"/>
          <w:sz w:val="24"/>
          <w:szCs w:val="24"/>
        </w:rPr>
        <w:t>, 1971,</w:t>
      </w:r>
      <w:r w:rsidR="003D20B5" w:rsidRPr="00DB384A">
        <w:rPr>
          <w:rFonts w:ascii="Times New Roman" w:hAnsi="Times New Roman" w:cs="Times New Roman"/>
          <w:sz w:val="24"/>
          <w:szCs w:val="24"/>
        </w:rPr>
        <w:t xml:space="preserve"> that</w:t>
      </w:r>
      <w:r w:rsidR="00BF78CE" w:rsidRPr="00DB384A">
        <w:rPr>
          <w:rFonts w:ascii="Times New Roman" w:hAnsi="Times New Roman" w:cs="Times New Roman"/>
          <w:sz w:val="24"/>
          <w:szCs w:val="24"/>
        </w:rPr>
        <w:t xml:space="preserve"> excluded pregnant workers from regular unemployment benefits</w:t>
      </w:r>
      <w:r w:rsidR="00A420AE" w:rsidRPr="00DB384A">
        <w:rPr>
          <w:rFonts w:ascii="Times New Roman" w:hAnsi="Times New Roman" w:cs="Times New Roman"/>
          <w:sz w:val="24"/>
          <w:szCs w:val="24"/>
        </w:rPr>
        <w:t xml:space="preserve"> and instead required</w:t>
      </w:r>
      <w:r w:rsidR="00BF78CE" w:rsidRPr="00DB384A">
        <w:rPr>
          <w:rFonts w:ascii="Times New Roman" w:hAnsi="Times New Roman" w:cs="Times New Roman"/>
          <w:sz w:val="24"/>
          <w:szCs w:val="24"/>
        </w:rPr>
        <w:t xml:space="preserve"> them to take </w:t>
      </w:r>
      <w:r w:rsidR="005C6231" w:rsidRPr="00DB384A">
        <w:rPr>
          <w:rFonts w:ascii="Times New Roman" w:hAnsi="Times New Roman" w:cs="Times New Roman"/>
          <w:sz w:val="24"/>
          <w:szCs w:val="24"/>
        </w:rPr>
        <w:t xml:space="preserve">special </w:t>
      </w:r>
      <w:r w:rsidR="00BF78CE" w:rsidRPr="00DB384A">
        <w:rPr>
          <w:rFonts w:ascii="Times New Roman" w:hAnsi="Times New Roman" w:cs="Times New Roman"/>
          <w:sz w:val="24"/>
          <w:szCs w:val="24"/>
        </w:rPr>
        <w:t xml:space="preserve">maternity benefits </w:t>
      </w:r>
      <w:r w:rsidR="001511A0" w:rsidRPr="00DB384A">
        <w:rPr>
          <w:rFonts w:ascii="Times New Roman" w:hAnsi="Times New Roman" w:cs="Times New Roman"/>
          <w:sz w:val="24"/>
          <w:szCs w:val="24"/>
        </w:rPr>
        <w:t>subject to</w:t>
      </w:r>
      <w:r w:rsidR="005C6231" w:rsidRPr="00DB384A">
        <w:rPr>
          <w:rFonts w:ascii="Times New Roman" w:hAnsi="Times New Roman" w:cs="Times New Roman"/>
          <w:sz w:val="24"/>
          <w:szCs w:val="24"/>
        </w:rPr>
        <w:t xml:space="preserve"> more stringent eligibility requirements</w:t>
      </w:r>
      <w:r w:rsidR="001A1C3C">
        <w:rPr>
          <w:rFonts w:ascii="Times New Roman" w:hAnsi="Times New Roman" w:cs="Times New Roman"/>
          <w:i/>
          <w:sz w:val="24"/>
          <w:szCs w:val="24"/>
        </w:rPr>
        <w:t>.</w:t>
      </w:r>
      <w:r w:rsidR="000A41C0" w:rsidRPr="00DB384A">
        <w:rPr>
          <w:rFonts w:ascii="Times New Roman" w:hAnsi="Times New Roman" w:cs="Times New Roman"/>
          <w:i/>
          <w:sz w:val="24"/>
          <w:szCs w:val="24"/>
        </w:rPr>
        <w:t xml:space="preserve"> </w:t>
      </w:r>
      <w:r w:rsidR="00BF78CE" w:rsidRPr="00DB384A">
        <w:rPr>
          <w:rFonts w:ascii="Times New Roman" w:hAnsi="Times New Roman" w:cs="Times New Roman"/>
          <w:sz w:val="24"/>
          <w:szCs w:val="24"/>
        </w:rPr>
        <w:t xml:space="preserve">Ritchie J. concluded that the </w:t>
      </w:r>
      <w:r w:rsidR="005C6231" w:rsidRPr="00DB384A">
        <w:rPr>
          <w:rFonts w:ascii="Times New Roman" w:hAnsi="Times New Roman" w:cs="Times New Roman"/>
          <w:sz w:val="24"/>
          <w:szCs w:val="24"/>
        </w:rPr>
        <w:t>exclusion</w:t>
      </w:r>
      <w:r w:rsidR="00BF78CE" w:rsidRPr="00DB384A">
        <w:rPr>
          <w:rFonts w:ascii="Times New Roman" w:hAnsi="Times New Roman" w:cs="Times New Roman"/>
          <w:sz w:val="24"/>
          <w:szCs w:val="24"/>
        </w:rPr>
        <w:t xml:space="preserve"> did not </w:t>
      </w:r>
      <w:r w:rsidR="0059603B" w:rsidRPr="00DB384A">
        <w:rPr>
          <w:rFonts w:ascii="Times New Roman" w:hAnsi="Times New Roman" w:cs="Times New Roman"/>
          <w:sz w:val="24"/>
          <w:szCs w:val="24"/>
        </w:rPr>
        <w:t xml:space="preserve">draw a distinction </w:t>
      </w:r>
      <w:proofErr w:type="gramStart"/>
      <w:r w:rsidR="0059603B" w:rsidRPr="00DB384A">
        <w:rPr>
          <w:rFonts w:ascii="Times New Roman" w:hAnsi="Times New Roman" w:cs="Times New Roman"/>
          <w:sz w:val="24"/>
          <w:szCs w:val="24"/>
        </w:rPr>
        <w:t>on the basis of</w:t>
      </w:r>
      <w:proofErr w:type="gramEnd"/>
      <w:r w:rsidR="0059603B" w:rsidRPr="00DB384A">
        <w:rPr>
          <w:rFonts w:ascii="Times New Roman" w:hAnsi="Times New Roman" w:cs="Times New Roman"/>
          <w:sz w:val="24"/>
          <w:szCs w:val="24"/>
        </w:rPr>
        <w:t xml:space="preserve"> sex</w:t>
      </w:r>
      <w:r w:rsidR="005C6231" w:rsidRPr="00DB384A">
        <w:rPr>
          <w:rFonts w:ascii="Times New Roman" w:hAnsi="Times New Roman" w:cs="Times New Roman"/>
          <w:sz w:val="24"/>
          <w:szCs w:val="24"/>
        </w:rPr>
        <w:t>,</w:t>
      </w:r>
      <w:r w:rsidR="00BF421B" w:rsidRPr="00DB384A">
        <w:rPr>
          <w:rFonts w:ascii="Times New Roman" w:hAnsi="Times New Roman" w:cs="Times New Roman"/>
          <w:sz w:val="24"/>
          <w:szCs w:val="24"/>
        </w:rPr>
        <w:t xml:space="preserve"> infamously</w:t>
      </w:r>
      <w:r w:rsidR="00E3455C" w:rsidRPr="00DB384A">
        <w:rPr>
          <w:rFonts w:ascii="Times New Roman" w:hAnsi="Times New Roman" w:cs="Times New Roman"/>
          <w:sz w:val="24"/>
          <w:szCs w:val="24"/>
        </w:rPr>
        <w:t xml:space="preserve"> observ</w:t>
      </w:r>
      <w:r w:rsidR="000F3684" w:rsidRPr="00DB384A">
        <w:rPr>
          <w:rFonts w:ascii="Times New Roman" w:hAnsi="Times New Roman" w:cs="Times New Roman"/>
          <w:sz w:val="24"/>
          <w:szCs w:val="24"/>
        </w:rPr>
        <w:t>ing</w:t>
      </w:r>
      <w:r w:rsidR="00E3455C" w:rsidRPr="00DB384A">
        <w:rPr>
          <w:rFonts w:ascii="Times New Roman" w:hAnsi="Times New Roman" w:cs="Times New Roman"/>
          <w:sz w:val="24"/>
          <w:szCs w:val="24"/>
        </w:rPr>
        <w:t xml:space="preserve"> that,</w:t>
      </w:r>
      <w:r w:rsidR="00BF78CE" w:rsidRPr="00DB384A">
        <w:rPr>
          <w:rFonts w:ascii="Times New Roman" w:hAnsi="Times New Roman" w:cs="Times New Roman"/>
          <w:sz w:val="24"/>
          <w:szCs w:val="24"/>
        </w:rPr>
        <w:t xml:space="preserve"> “Any inequality </w:t>
      </w:r>
      <w:r w:rsidR="00E3455C" w:rsidRPr="00DB384A">
        <w:rPr>
          <w:rFonts w:ascii="Times New Roman" w:hAnsi="Times New Roman" w:cs="Times New Roman"/>
          <w:sz w:val="24"/>
          <w:szCs w:val="24"/>
        </w:rPr>
        <w:t>in</w:t>
      </w:r>
      <w:r w:rsidR="00BF78CE" w:rsidRPr="00DB384A">
        <w:rPr>
          <w:rFonts w:ascii="Times New Roman" w:hAnsi="Times New Roman" w:cs="Times New Roman"/>
          <w:sz w:val="24"/>
          <w:szCs w:val="24"/>
        </w:rPr>
        <w:t xml:space="preserve"> this area is not created by legislation but by nature.”</w:t>
      </w:r>
      <w:r w:rsidR="00BF78CE" w:rsidRPr="00DB384A">
        <w:rPr>
          <w:rStyle w:val="FootnoteReference"/>
          <w:rFonts w:ascii="Times New Roman" w:hAnsi="Times New Roman" w:cs="Times New Roman"/>
          <w:sz w:val="24"/>
          <w:szCs w:val="24"/>
        </w:rPr>
        <w:footnoteReference w:id="33"/>
      </w:r>
      <w:r w:rsidR="00BF78CE" w:rsidRPr="00DB384A">
        <w:rPr>
          <w:rFonts w:ascii="Times New Roman" w:hAnsi="Times New Roman" w:cs="Times New Roman"/>
          <w:sz w:val="24"/>
          <w:szCs w:val="24"/>
        </w:rPr>
        <w:t xml:space="preserve">  </w:t>
      </w:r>
    </w:p>
    <w:p w:rsidR="00BF78CE" w:rsidRPr="00DB384A" w:rsidRDefault="00BF78CE" w:rsidP="00540E63">
      <w:pPr>
        <w:pStyle w:val="FactumBodyL1"/>
        <w:spacing w:after="0"/>
        <w:ind w:left="0" w:firstLine="0"/>
        <w:rPr>
          <w:rFonts w:ascii="Times New Roman" w:hAnsi="Times New Roman" w:cs="Times New Roman"/>
          <w:sz w:val="24"/>
          <w:szCs w:val="24"/>
        </w:rPr>
      </w:pPr>
      <w:r w:rsidRPr="00DB384A">
        <w:rPr>
          <w:rFonts w:ascii="Times New Roman" w:hAnsi="Times New Roman" w:cs="Times New Roman"/>
          <w:sz w:val="24"/>
          <w:szCs w:val="24"/>
        </w:rPr>
        <w:t>Subsequent case law has rejected this narrow and formalistic reasoning as the antithesis of a substantive equality approach.</w:t>
      </w:r>
      <w:r w:rsidRPr="00DB384A">
        <w:rPr>
          <w:rStyle w:val="FootnoteReference"/>
          <w:rFonts w:ascii="Times New Roman" w:hAnsi="Times New Roman" w:cs="Times New Roman"/>
          <w:sz w:val="24"/>
          <w:szCs w:val="24"/>
        </w:rPr>
        <w:footnoteReference w:id="34"/>
      </w:r>
      <w:r w:rsidRPr="00DB384A">
        <w:rPr>
          <w:rFonts w:ascii="Times New Roman" w:hAnsi="Times New Roman" w:cs="Times New Roman"/>
          <w:sz w:val="24"/>
          <w:szCs w:val="24"/>
        </w:rPr>
        <w:t xml:space="preserve"> In </w:t>
      </w:r>
      <w:r w:rsidRPr="00DB384A">
        <w:rPr>
          <w:rFonts w:ascii="Times New Roman" w:hAnsi="Times New Roman" w:cs="Times New Roman"/>
          <w:i/>
          <w:sz w:val="24"/>
          <w:szCs w:val="24"/>
        </w:rPr>
        <w:t>Brooks v. Safeway,</w:t>
      </w:r>
      <w:r w:rsidRPr="00DB384A">
        <w:rPr>
          <w:rFonts w:ascii="Times New Roman" w:hAnsi="Times New Roman" w:cs="Times New Roman"/>
          <w:sz w:val="24"/>
          <w:szCs w:val="24"/>
        </w:rPr>
        <w:t xml:space="preserve"> a </w:t>
      </w:r>
      <w:r w:rsidR="00067CA5">
        <w:rPr>
          <w:rFonts w:ascii="Times New Roman" w:hAnsi="Times New Roman" w:cs="Times New Roman"/>
          <w:sz w:val="24"/>
          <w:szCs w:val="24"/>
        </w:rPr>
        <w:t>human rights c</w:t>
      </w:r>
      <w:r w:rsidR="0059603B" w:rsidRPr="00DB384A">
        <w:rPr>
          <w:rFonts w:ascii="Times New Roman" w:hAnsi="Times New Roman" w:cs="Times New Roman"/>
          <w:sz w:val="24"/>
          <w:szCs w:val="24"/>
        </w:rPr>
        <w:t>hallenge under human rights legislation to</w:t>
      </w:r>
      <w:r w:rsidRPr="00DB384A">
        <w:rPr>
          <w:rFonts w:ascii="Times New Roman" w:hAnsi="Times New Roman" w:cs="Times New Roman"/>
          <w:sz w:val="24"/>
          <w:szCs w:val="24"/>
        </w:rPr>
        <w:t xml:space="preserve"> a benefits plan that excluded pregnant employees from disability benefits, Dickson </w:t>
      </w:r>
      <w:r w:rsidR="00112D64" w:rsidRPr="00DB384A">
        <w:rPr>
          <w:rFonts w:ascii="Times New Roman" w:hAnsi="Times New Roman" w:cs="Times New Roman"/>
          <w:sz w:val="24"/>
          <w:szCs w:val="24"/>
        </w:rPr>
        <w:t xml:space="preserve">C.J. </w:t>
      </w:r>
      <w:r w:rsidRPr="00DB384A">
        <w:rPr>
          <w:rFonts w:ascii="Times New Roman" w:hAnsi="Times New Roman" w:cs="Times New Roman"/>
          <w:sz w:val="24"/>
          <w:szCs w:val="24"/>
        </w:rPr>
        <w:t>explained</w:t>
      </w:r>
      <w:r w:rsidR="009237E9">
        <w:rPr>
          <w:rFonts w:ascii="Times New Roman" w:hAnsi="Times New Roman" w:cs="Times New Roman"/>
          <w:sz w:val="24"/>
          <w:szCs w:val="24"/>
        </w:rPr>
        <w:t>:</w:t>
      </w:r>
      <w:r w:rsidRPr="00DB384A">
        <w:rPr>
          <w:rFonts w:ascii="Times New Roman" w:hAnsi="Times New Roman" w:cs="Times New Roman"/>
          <w:sz w:val="24"/>
          <w:szCs w:val="24"/>
        </w:rPr>
        <w:t xml:space="preserve"> </w:t>
      </w:r>
    </w:p>
    <w:p w:rsidR="00BF78CE" w:rsidRPr="00DB384A" w:rsidRDefault="009237E9" w:rsidP="00C540F4">
      <w:pPr>
        <w:pStyle w:val="Block1"/>
        <w:spacing w:after="240" w:line="240" w:lineRule="auto"/>
        <w:jc w:val="both"/>
        <w:rPr>
          <w:sz w:val="24"/>
          <w:szCs w:val="24"/>
        </w:rPr>
      </w:pPr>
      <w:r>
        <w:rPr>
          <w:sz w:val="24"/>
          <w:szCs w:val="24"/>
        </w:rPr>
        <w:t>[</w:t>
      </w:r>
      <w:r w:rsidRPr="00DB384A">
        <w:rPr>
          <w:i/>
          <w:sz w:val="24"/>
          <w:szCs w:val="24"/>
        </w:rPr>
        <w:t>Bliss</w:t>
      </w:r>
      <w:r w:rsidRPr="00DB384A">
        <w:rPr>
          <w:sz w:val="24"/>
          <w:szCs w:val="24"/>
        </w:rPr>
        <w:t xml:space="preserve"> was</w:t>
      </w:r>
      <w:r>
        <w:rPr>
          <w:sz w:val="24"/>
          <w:szCs w:val="24"/>
        </w:rPr>
        <w:t>]</w:t>
      </w:r>
      <w:r w:rsidRPr="00DB384A">
        <w:rPr>
          <w:sz w:val="24"/>
          <w:szCs w:val="24"/>
        </w:rPr>
        <w:t xml:space="preserve"> </w:t>
      </w:r>
      <w:r>
        <w:rPr>
          <w:sz w:val="24"/>
          <w:szCs w:val="24"/>
        </w:rPr>
        <w:t>w</w:t>
      </w:r>
      <w:r w:rsidR="00BF78CE" w:rsidRPr="00DB384A">
        <w:rPr>
          <w:sz w:val="24"/>
          <w:szCs w:val="24"/>
        </w:rPr>
        <w:t xml:space="preserve">rongly decided, or in any event would not be decided now as it </w:t>
      </w:r>
      <w:proofErr w:type="gramStart"/>
      <w:r w:rsidR="00BF78CE" w:rsidRPr="00DB384A">
        <w:rPr>
          <w:sz w:val="24"/>
          <w:szCs w:val="24"/>
        </w:rPr>
        <w:t>was decided</w:t>
      </w:r>
      <w:proofErr w:type="gramEnd"/>
      <w:r w:rsidR="00BF78CE" w:rsidRPr="00DB384A">
        <w:rPr>
          <w:sz w:val="24"/>
          <w:szCs w:val="24"/>
        </w:rPr>
        <w:t xml:space="preserve"> then…. </w:t>
      </w:r>
      <w:r w:rsidR="00BF78CE" w:rsidRPr="00DB384A">
        <w:rPr>
          <w:sz w:val="24"/>
          <w:szCs w:val="24"/>
          <w:u w:val="single"/>
        </w:rPr>
        <w:t xml:space="preserve">It is difficult to conceive that distinctions or discrimination based upon pregnancy </w:t>
      </w:r>
      <w:proofErr w:type="gramStart"/>
      <w:r w:rsidR="00BF78CE" w:rsidRPr="00DB384A">
        <w:rPr>
          <w:sz w:val="24"/>
          <w:szCs w:val="24"/>
          <w:u w:val="single"/>
        </w:rPr>
        <w:t>could ever be regarded</w:t>
      </w:r>
      <w:proofErr w:type="gramEnd"/>
      <w:r w:rsidR="00BF78CE" w:rsidRPr="00DB384A">
        <w:rPr>
          <w:sz w:val="24"/>
          <w:szCs w:val="24"/>
          <w:u w:val="single"/>
        </w:rPr>
        <w:t xml:space="preserve"> as other than discrimination based upon sex</w:t>
      </w:r>
      <w:r w:rsidR="00BF78CE" w:rsidRPr="00DB384A">
        <w:rPr>
          <w:sz w:val="24"/>
          <w:szCs w:val="24"/>
        </w:rPr>
        <w:t>, or that restrictive statutory conditions applicable only to pregnant women did not discriminate against them as women.</w:t>
      </w:r>
      <w:r w:rsidR="00CA5036" w:rsidRPr="00DB384A">
        <w:rPr>
          <w:rStyle w:val="FootnoteReference"/>
          <w:rFonts w:ascii="Times New Roman" w:hAnsi="Times New Roman" w:cs="Times New Roman"/>
          <w:sz w:val="24"/>
          <w:szCs w:val="24"/>
        </w:rPr>
        <w:footnoteReference w:id="35"/>
      </w:r>
      <w:r w:rsidR="00CA5036" w:rsidRPr="00DB384A">
        <w:rPr>
          <w:sz w:val="24"/>
          <w:szCs w:val="24"/>
        </w:rPr>
        <w:t xml:space="preserve"> </w:t>
      </w:r>
    </w:p>
    <w:p w:rsidR="008D47BF" w:rsidRDefault="003A5BB9"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A law </w:t>
      </w:r>
      <w:r w:rsidR="008D47BF">
        <w:rPr>
          <w:rFonts w:ascii="Times New Roman" w:hAnsi="Times New Roman" w:cs="Times New Roman"/>
          <w:sz w:val="24"/>
          <w:szCs w:val="24"/>
        </w:rPr>
        <w:t xml:space="preserve">or </w:t>
      </w:r>
      <w:r w:rsidRPr="00DB384A">
        <w:rPr>
          <w:rFonts w:ascii="Times New Roman" w:hAnsi="Times New Roman" w:cs="Times New Roman"/>
          <w:sz w:val="24"/>
          <w:szCs w:val="24"/>
        </w:rPr>
        <w:t xml:space="preserve">policy that </w:t>
      </w:r>
      <w:r w:rsidR="008D47BF">
        <w:rPr>
          <w:rFonts w:ascii="Times New Roman" w:hAnsi="Times New Roman" w:cs="Times New Roman"/>
          <w:sz w:val="24"/>
          <w:szCs w:val="24"/>
        </w:rPr>
        <w:t>makes a distinction</w:t>
      </w:r>
      <w:r w:rsidR="00BF78CE" w:rsidRPr="00DB384A">
        <w:rPr>
          <w:rFonts w:ascii="Times New Roman" w:hAnsi="Times New Roman" w:cs="Times New Roman"/>
          <w:sz w:val="24"/>
          <w:szCs w:val="24"/>
        </w:rPr>
        <w:t xml:space="preserve"> </w:t>
      </w:r>
      <w:proofErr w:type="gramStart"/>
      <w:r w:rsidR="00BF78CE" w:rsidRPr="00DB384A">
        <w:rPr>
          <w:rFonts w:ascii="Times New Roman" w:hAnsi="Times New Roman" w:cs="Times New Roman"/>
          <w:sz w:val="24"/>
          <w:szCs w:val="24"/>
        </w:rPr>
        <w:t>on the basis of</w:t>
      </w:r>
      <w:proofErr w:type="gramEnd"/>
      <w:r w:rsidR="00BF78CE" w:rsidRPr="00DB384A">
        <w:rPr>
          <w:rFonts w:ascii="Times New Roman" w:hAnsi="Times New Roman" w:cs="Times New Roman"/>
          <w:sz w:val="24"/>
          <w:szCs w:val="24"/>
        </w:rPr>
        <w:t xml:space="preserve"> unk</w:t>
      </w:r>
      <w:r w:rsidRPr="00DB384A">
        <w:rPr>
          <w:rFonts w:ascii="Times New Roman" w:hAnsi="Times New Roman" w:cs="Times New Roman"/>
          <w:sz w:val="24"/>
          <w:szCs w:val="24"/>
        </w:rPr>
        <w:t>nown or unknowable paternity ha</w:t>
      </w:r>
      <w:r w:rsidR="008D47BF">
        <w:rPr>
          <w:rFonts w:ascii="Times New Roman" w:hAnsi="Times New Roman" w:cs="Times New Roman"/>
          <w:sz w:val="24"/>
          <w:szCs w:val="24"/>
        </w:rPr>
        <w:t>s</w:t>
      </w:r>
      <w:r w:rsidR="00BF78CE" w:rsidRPr="00DB384A">
        <w:rPr>
          <w:rFonts w:ascii="Times New Roman" w:hAnsi="Times New Roman" w:cs="Times New Roman"/>
          <w:sz w:val="24"/>
          <w:szCs w:val="24"/>
        </w:rPr>
        <w:t xml:space="preserve"> strong parallels</w:t>
      </w:r>
      <w:r w:rsidRPr="00DB384A">
        <w:rPr>
          <w:rFonts w:ascii="Times New Roman" w:hAnsi="Times New Roman" w:cs="Times New Roman"/>
          <w:sz w:val="24"/>
          <w:szCs w:val="24"/>
        </w:rPr>
        <w:t xml:space="preserve"> with</w:t>
      </w:r>
      <w:r w:rsidR="00BF78CE" w:rsidRPr="00DB384A">
        <w:rPr>
          <w:rFonts w:ascii="Times New Roman" w:hAnsi="Times New Roman" w:cs="Times New Roman"/>
          <w:sz w:val="24"/>
          <w:szCs w:val="24"/>
        </w:rPr>
        <w:t xml:space="preserve"> a law that </w:t>
      </w:r>
      <w:r w:rsidR="008D47BF">
        <w:rPr>
          <w:rFonts w:ascii="Times New Roman" w:hAnsi="Times New Roman" w:cs="Times New Roman"/>
          <w:sz w:val="24"/>
          <w:szCs w:val="24"/>
        </w:rPr>
        <w:t>makes a distinction</w:t>
      </w:r>
      <w:r w:rsidR="0039055B">
        <w:rPr>
          <w:rFonts w:ascii="Times New Roman" w:hAnsi="Times New Roman" w:cs="Times New Roman"/>
          <w:sz w:val="24"/>
          <w:szCs w:val="24"/>
        </w:rPr>
        <w:t xml:space="preserve"> on the basis of pregnancy. </w:t>
      </w:r>
      <w:r w:rsidR="00E3455C" w:rsidRPr="00DB384A">
        <w:rPr>
          <w:rFonts w:ascii="Times New Roman" w:hAnsi="Times New Roman" w:cs="Times New Roman"/>
          <w:sz w:val="24"/>
          <w:szCs w:val="24"/>
        </w:rPr>
        <w:t>Not</w:t>
      </w:r>
      <w:r w:rsidR="00296378" w:rsidRPr="00DB384A">
        <w:rPr>
          <w:rFonts w:ascii="Times New Roman" w:hAnsi="Times New Roman" w:cs="Times New Roman"/>
          <w:sz w:val="24"/>
          <w:szCs w:val="24"/>
        </w:rPr>
        <w:t xml:space="preserve"> </w:t>
      </w:r>
      <w:r w:rsidR="0096053E" w:rsidRPr="00DB384A">
        <w:rPr>
          <w:rFonts w:ascii="Times New Roman" w:hAnsi="Times New Roman" w:cs="Times New Roman"/>
          <w:sz w:val="24"/>
          <w:szCs w:val="24"/>
        </w:rPr>
        <w:t>all Indigen</w:t>
      </w:r>
      <w:r w:rsidR="007E6E6D" w:rsidRPr="00DB384A">
        <w:rPr>
          <w:rFonts w:ascii="Times New Roman" w:hAnsi="Times New Roman" w:cs="Times New Roman"/>
          <w:sz w:val="24"/>
          <w:szCs w:val="24"/>
        </w:rPr>
        <w:t>ous women se</w:t>
      </w:r>
      <w:r w:rsidR="00296378" w:rsidRPr="00DB384A">
        <w:rPr>
          <w:rFonts w:ascii="Times New Roman" w:hAnsi="Times New Roman" w:cs="Times New Roman"/>
          <w:sz w:val="24"/>
          <w:szCs w:val="24"/>
        </w:rPr>
        <w:t>eking to register their children under the</w:t>
      </w:r>
      <w:r w:rsidRPr="00DB384A">
        <w:rPr>
          <w:rFonts w:ascii="Times New Roman" w:hAnsi="Times New Roman" w:cs="Times New Roman"/>
          <w:sz w:val="24"/>
          <w:szCs w:val="24"/>
        </w:rPr>
        <w:t xml:space="preserve"> </w:t>
      </w:r>
      <w:r w:rsidRPr="00DB384A">
        <w:rPr>
          <w:rFonts w:ascii="Times New Roman" w:hAnsi="Times New Roman" w:cs="Times New Roman"/>
          <w:i/>
          <w:sz w:val="24"/>
          <w:szCs w:val="24"/>
        </w:rPr>
        <w:t>Indian</w:t>
      </w:r>
      <w:r w:rsidR="00296378" w:rsidRPr="00DB384A">
        <w:rPr>
          <w:rFonts w:ascii="Times New Roman" w:hAnsi="Times New Roman" w:cs="Times New Roman"/>
          <w:i/>
          <w:sz w:val="24"/>
          <w:szCs w:val="24"/>
        </w:rPr>
        <w:t xml:space="preserve"> Act</w:t>
      </w:r>
      <w:r w:rsidR="00E3455C" w:rsidRPr="00DB384A">
        <w:rPr>
          <w:rFonts w:ascii="Times New Roman" w:hAnsi="Times New Roman" w:cs="Times New Roman"/>
          <w:sz w:val="24"/>
          <w:szCs w:val="24"/>
        </w:rPr>
        <w:t xml:space="preserve"> are </w:t>
      </w:r>
      <w:r w:rsidR="00C86FAA">
        <w:rPr>
          <w:rFonts w:ascii="Times New Roman" w:hAnsi="Times New Roman" w:cs="Times New Roman"/>
          <w:sz w:val="24"/>
          <w:szCs w:val="24"/>
        </w:rPr>
        <w:t>unable or effectively unable</w:t>
      </w:r>
      <w:r w:rsidR="00E3455C" w:rsidRPr="00DB384A">
        <w:rPr>
          <w:rFonts w:ascii="Times New Roman" w:hAnsi="Times New Roman" w:cs="Times New Roman"/>
          <w:sz w:val="24"/>
          <w:szCs w:val="24"/>
        </w:rPr>
        <w:t xml:space="preserve"> to identify the </w:t>
      </w:r>
      <w:r w:rsidR="0092249D">
        <w:rPr>
          <w:rFonts w:ascii="Times New Roman" w:hAnsi="Times New Roman" w:cs="Times New Roman"/>
          <w:sz w:val="24"/>
          <w:szCs w:val="24"/>
        </w:rPr>
        <w:t>other parent</w:t>
      </w:r>
      <w:r w:rsidR="00E3455C" w:rsidRPr="00DB384A">
        <w:rPr>
          <w:rFonts w:ascii="Times New Roman" w:hAnsi="Times New Roman" w:cs="Times New Roman"/>
          <w:sz w:val="24"/>
          <w:szCs w:val="24"/>
        </w:rPr>
        <w:t xml:space="preserve"> of their children</w:t>
      </w:r>
      <w:r w:rsidR="00296378" w:rsidRPr="00DB384A">
        <w:rPr>
          <w:rFonts w:ascii="Times New Roman" w:hAnsi="Times New Roman" w:cs="Times New Roman"/>
          <w:sz w:val="24"/>
          <w:szCs w:val="24"/>
        </w:rPr>
        <w:t xml:space="preserve">, but </w:t>
      </w:r>
      <w:r w:rsidR="00E3455C" w:rsidRPr="00DB384A">
        <w:rPr>
          <w:rFonts w:ascii="Times New Roman" w:hAnsi="Times New Roman" w:cs="Times New Roman"/>
          <w:sz w:val="24"/>
          <w:szCs w:val="24"/>
        </w:rPr>
        <w:t xml:space="preserve">those who are unable or </w:t>
      </w:r>
      <w:r w:rsidR="00C86FAA">
        <w:rPr>
          <w:rFonts w:ascii="Times New Roman" w:hAnsi="Times New Roman" w:cs="Times New Roman"/>
          <w:sz w:val="24"/>
          <w:szCs w:val="24"/>
        </w:rPr>
        <w:t xml:space="preserve">effectively unable </w:t>
      </w:r>
      <w:r w:rsidR="00E3455C" w:rsidRPr="00DB384A">
        <w:rPr>
          <w:rFonts w:ascii="Times New Roman" w:hAnsi="Times New Roman" w:cs="Times New Roman"/>
          <w:sz w:val="24"/>
          <w:szCs w:val="24"/>
        </w:rPr>
        <w:t xml:space="preserve">to identify the other parent of their children </w:t>
      </w:r>
      <w:r w:rsidR="00F3619E" w:rsidRPr="00DB384A">
        <w:rPr>
          <w:rFonts w:ascii="Times New Roman" w:hAnsi="Times New Roman" w:cs="Times New Roman"/>
          <w:sz w:val="24"/>
          <w:szCs w:val="24"/>
        </w:rPr>
        <w:t xml:space="preserve">for the purposes of registration </w:t>
      </w:r>
      <w:r w:rsidR="00E3455C" w:rsidRPr="00DB384A">
        <w:rPr>
          <w:rFonts w:ascii="Times New Roman" w:hAnsi="Times New Roman" w:cs="Times New Roman"/>
          <w:sz w:val="24"/>
          <w:szCs w:val="24"/>
        </w:rPr>
        <w:t>are</w:t>
      </w:r>
      <w:r w:rsidR="001A6DC9">
        <w:rPr>
          <w:rFonts w:ascii="Times New Roman" w:hAnsi="Times New Roman" w:cs="Times New Roman"/>
          <w:sz w:val="24"/>
          <w:szCs w:val="24"/>
        </w:rPr>
        <w:t xml:space="preserve"> </w:t>
      </w:r>
      <w:r w:rsidR="00296378" w:rsidRPr="00DB384A">
        <w:rPr>
          <w:rFonts w:ascii="Times New Roman" w:hAnsi="Times New Roman" w:cs="Times New Roman"/>
          <w:sz w:val="24"/>
          <w:szCs w:val="24"/>
        </w:rPr>
        <w:t>exclusively Indigenous women</w:t>
      </w:r>
      <w:r w:rsidRPr="00DB384A">
        <w:rPr>
          <w:rFonts w:ascii="Times New Roman" w:hAnsi="Times New Roman" w:cs="Times New Roman"/>
          <w:sz w:val="24"/>
          <w:szCs w:val="24"/>
        </w:rPr>
        <w:t>, particularly Indigenous women</w:t>
      </w:r>
      <w:r w:rsidR="00BA301C" w:rsidRPr="00DB384A">
        <w:rPr>
          <w:rFonts w:ascii="Times New Roman" w:hAnsi="Times New Roman" w:cs="Times New Roman"/>
          <w:sz w:val="24"/>
          <w:szCs w:val="24"/>
        </w:rPr>
        <w:t xml:space="preserve"> who are </w:t>
      </w:r>
      <w:r w:rsidR="001511A0" w:rsidRPr="00DB384A">
        <w:rPr>
          <w:rFonts w:ascii="Times New Roman" w:hAnsi="Times New Roman" w:cs="Times New Roman"/>
          <w:sz w:val="24"/>
          <w:szCs w:val="24"/>
        </w:rPr>
        <w:t>confronting</w:t>
      </w:r>
      <w:r w:rsidR="007E6E6D" w:rsidRPr="00DB384A">
        <w:rPr>
          <w:rFonts w:ascii="Times New Roman" w:hAnsi="Times New Roman" w:cs="Times New Roman"/>
          <w:sz w:val="24"/>
          <w:szCs w:val="24"/>
        </w:rPr>
        <w:t xml:space="preserve"> </w:t>
      </w:r>
      <w:r w:rsidR="007E6E6D" w:rsidRPr="00DB384A">
        <w:rPr>
          <w:rFonts w:ascii="Times New Roman" w:hAnsi="Times New Roman" w:cs="Times New Roman"/>
          <w:sz w:val="24"/>
          <w:szCs w:val="24"/>
        </w:rPr>
        <w:lastRenderedPageBreak/>
        <w:t>intimate partner violence</w:t>
      </w:r>
      <w:r w:rsidR="00C50326" w:rsidRPr="00DB384A">
        <w:rPr>
          <w:rFonts w:ascii="Times New Roman" w:hAnsi="Times New Roman" w:cs="Times New Roman"/>
          <w:sz w:val="24"/>
          <w:szCs w:val="24"/>
        </w:rPr>
        <w:t>.</w:t>
      </w:r>
      <w:r w:rsidR="00FB3DF2" w:rsidRPr="00DB384A">
        <w:rPr>
          <w:rFonts w:ascii="Times New Roman" w:hAnsi="Times New Roman" w:cs="Times New Roman"/>
          <w:sz w:val="24"/>
          <w:szCs w:val="24"/>
        </w:rPr>
        <w:t xml:space="preserve"> </w:t>
      </w:r>
      <w:r w:rsidR="00296378" w:rsidRPr="00DB384A">
        <w:rPr>
          <w:rFonts w:ascii="Times New Roman" w:hAnsi="Times New Roman" w:cs="Times New Roman"/>
          <w:sz w:val="24"/>
          <w:szCs w:val="24"/>
        </w:rPr>
        <w:t xml:space="preserve">To ignore this fundamental link between </w:t>
      </w:r>
      <w:r w:rsidR="007E6E6D" w:rsidRPr="00DB384A">
        <w:rPr>
          <w:rFonts w:ascii="Times New Roman" w:hAnsi="Times New Roman" w:cs="Times New Roman"/>
          <w:sz w:val="24"/>
          <w:szCs w:val="24"/>
        </w:rPr>
        <w:t xml:space="preserve">unknown and unstated paternity </w:t>
      </w:r>
      <w:r w:rsidR="00FB3DF2" w:rsidRPr="00DB384A">
        <w:rPr>
          <w:rFonts w:ascii="Times New Roman" w:hAnsi="Times New Roman" w:cs="Times New Roman"/>
          <w:sz w:val="24"/>
          <w:szCs w:val="24"/>
        </w:rPr>
        <w:t xml:space="preserve">and sex </w:t>
      </w:r>
      <w:r w:rsidR="007E6E6D" w:rsidRPr="00DB384A">
        <w:rPr>
          <w:rFonts w:ascii="Times New Roman" w:hAnsi="Times New Roman" w:cs="Times New Roman"/>
          <w:sz w:val="24"/>
          <w:szCs w:val="24"/>
        </w:rPr>
        <w:t>is inconsistent with a s</w:t>
      </w:r>
      <w:r w:rsidR="00FB3DF2" w:rsidRPr="00DB384A">
        <w:rPr>
          <w:rFonts w:ascii="Times New Roman" w:hAnsi="Times New Roman" w:cs="Times New Roman"/>
          <w:sz w:val="24"/>
          <w:szCs w:val="24"/>
        </w:rPr>
        <w:t>ubstantive equality approach to</w:t>
      </w:r>
      <w:r w:rsidR="007E6E6D" w:rsidRPr="00DB384A">
        <w:rPr>
          <w:rFonts w:ascii="Times New Roman" w:hAnsi="Times New Roman" w:cs="Times New Roman"/>
          <w:sz w:val="24"/>
          <w:szCs w:val="24"/>
        </w:rPr>
        <w:t xml:space="preserve"> s. 15(</w:t>
      </w:r>
      <w:r w:rsidR="00840C8A" w:rsidRPr="00DB384A">
        <w:rPr>
          <w:rFonts w:ascii="Times New Roman" w:hAnsi="Times New Roman" w:cs="Times New Roman"/>
          <w:sz w:val="24"/>
          <w:szCs w:val="24"/>
        </w:rPr>
        <w:t>1).</w:t>
      </w:r>
      <w:r w:rsidR="00923A11" w:rsidRPr="00DB384A">
        <w:rPr>
          <w:rFonts w:ascii="Times New Roman" w:hAnsi="Times New Roman" w:cs="Times New Roman"/>
          <w:sz w:val="24"/>
          <w:szCs w:val="24"/>
        </w:rPr>
        <w:t xml:space="preserve"> </w:t>
      </w:r>
    </w:p>
    <w:p w:rsidR="0051355B" w:rsidRPr="00EE16F9" w:rsidRDefault="00C74B72" w:rsidP="00EE16F9">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The law,</w:t>
      </w:r>
      <w:r w:rsidR="00BC059D" w:rsidRPr="00EE16F9">
        <w:rPr>
          <w:rFonts w:ascii="Times New Roman" w:hAnsi="Times New Roman" w:cs="Times New Roman"/>
          <w:sz w:val="24"/>
          <w:szCs w:val="24"/>
        </w:rPr>
        <w:t xml:space="preserve"> </w:t>
      </w:r>
      <w:r w:rsidR="00EE16F9">
        <w:rPr>
          <w:rFonts w:ascii="Times New Roman" w:hAnsi="Times New Roman" w:cs="Times New Roman"/>
          <w:sz w:val="24"/>
          <w:szCs w:val="24"/>
        </w:rPr>
        <w:t>as implemented by the Policy</w:t>
      </w:r>
      <w:r>
        <w:rPr>
          <w:rFonts w:ascii="Times New Roman" w:hAnsi="Times New Roman" w:cs="Times New Roman"/>
          <w:sz w:val="24"/>
          <w:szCs w:val="24"/>
        </w:rPr>
        <w:t>,</w:t>
      </w:r>
      <w:r w:rsidR="0051355B" w:rsidRPr="00EE16F9">
        <w:rPr>
          <w:rFonts w:ascii="Times New Roman" w:hAnsi="Times New Roman" w:cs="Times New Roman"/>
          <w:sz w:val="24"/>
          <w:szCs w:val="24"/>
        </w:rPr>
        <w:t xml:space="preserve"> </w:t>
      </w:r>
      <w:r w:rsidR="00C86FAA">
        <w:rPr>
          <w:rFonts w:ascii="Times New Roman" w:hAnsi="Times New Roman" w:cs="Times New Roman"/>
          <w:sz w:val="24"/>
          <w:szCs w:val="24"/>
        </w:rPr>
        <w:t xml:space="preserve">also </w:t>
      </w:r>
      <w:r w:rsidR="00EE16F9">
        <w:rPr>
          <w:rFonts w:ascii="Times New Roman" w:hAnsi="Times New Roman" w:cs="Times New Roman"/>
          <w:sz w:val="24"/>
          <w:szCs w:val="24"/>
        </w:rPr>
        <w:t>has a</w:t>
      </w:r>
      <w:r w:rsidR="00BC059D" w:rsidRPr="00EE16F9">
        <w:rPr>
          <w:rFonts w:ascii="Times New Roman" w:hAnsi="Times New Roman" w:cs="Times New Roman"/>
          <w:sz w:val="24"/>
          <w:szCs w:val="24"/>
        </w:rPr>
        <w:t xml:space="preserve"> disproportionate effect on</w:t>
      </w:r>
      <w:r w:rsidR="0051355B" w:rsidRPr="00EE16F9">
        <w:rPr>
          <w:rFonts w:ascii="Times New Roman" w:hAnsi="Times New Roman" w:cs="Times New Roman"/>
          <w:sz w:val="24"/>
          <w:szCs w:val="24"/>
        </w:rPr>
        <w:t xml:space="preserve"> unmarried Indigenous women, who are more likely to be unable </w:t>
      </w:r>
      <w:r w:rsidR="00D41D12">
        <w:rPr>
          <w:rFonts w:ascii="Times New Roman" w:hAnsi="Times New Roman" w:cs="Times New Roman"/>
          <w:sz w:val="24"/>
          <w:szCs w:val="24"/>
        </w:rPr>
        <w:t xml:space="preserve">or effectively unable </w:t>
      </w:r>
      <w:r w:rsidR="0051355B" w:rsidRPr="00EE16F9">
        <w:rPr>
          <w:rFonts w:ascii="Times New Roman" w:hAnsi="Times New Roman" w:cs="Times New Roman"/>
          <w:sz w:val="24"/>
          <w:szCs w:val="24"/>
        </w:rPr>
        <w:t xml:space="preserve">to </w:t>
      </w:r>
      <w:r w:rsidR="0092249D">
        <w:rPr>
          <w:rFonts w:ascii="Times New Roman" w:hAnsi="Times New Roman" w:cs="Times New Roman"/>
          <w:sz w:val="24"/>
          <w:szCs w:val="24"/>
        </w:rPr>
        <w:t>establish</w:t>
      </w:r>
      <w:r w:rsidR="0051355B" w:rsidRPr="00EE16F9">
        <w:rPr>
          <w:rFonts w:ascii="Times New Roman" w:hAnsi="Times New Roman" w:cs="Times New Roman"/>
          <w:sz w:val="24"/>
          <w:szCs w:val="24"/>
        </w:rPr>
        <w:t xml:space="preserve"> the </w:t>
      </w:r>
      <w:r w:rsidR="00D41D12">
        <w:rPr>
          <w:rFonts w:ascii="Times New Roman" w:hAnsi="Times New Roman" w:cs="Times New Roman"/>
          <w:sz w:val="24"/>
          <w:szCs w:val="24"/>
        </w:rPr>
        <w:t>paternity</w:t>
      </w:r>
      <w:r w:rsidR="0051355B" w:rsidRPr="00EE16F9">
        <w:rPr>
          <w:rFonts w:ascii="Times New Roman" w:hAnsi="Times New Roman" w:cs="Times New Roman"/>
          <w:sz w:val="24"/>
          <w:szCs w:val="24"/>
        </w:rPr>
        <w:t xml:space="preserve"> of their children. Where the father of the child has another spouse, for instance, there may be serious social and community repercussions to</w:t>
      </w:r>
      <w:r w:rsidR="00D41D12">
        <w:rPr>
          <w:rFonts w:ascii="Times New Roman" w:hAnsi="Times New Roman" w:cs="Times New Roman"/>
          <w:sz w:val="24"/>
          <w:szCs w:val="24"/>
        </w:rPr>
        <w:t xml:space="preserve"> gathering the evidence required to</w:t>
      </w:r>
      <w:r w:rsidR="0051355B" w:rsidRPr="00EE16F9">
        <w:rPr>
          <w:rFonts w:ascii="Times New Roman" w:hAnsi="Times New Roman" w:cs="Times New Roman"/>
          <w:sz w:val="24"/>
          <w:szCs w:val="24"/>
        </w:rPr>
        <w:t xml:space="preserve"> </w:t>
      </w:r>
      <w:r w:rsidR="00D41D12">
        <w:rPr>
          <w:rFonts w:ascii="Times New Roman" w:hAnsi="Times New Roman" w:cs="Times New Roman"/>
          <w:sz w:val="24"/>
          <w:szCs w:val="24"/>
        </w:rPr>
        <w:t>prove paternity</w:t>
      </w:r>
      <w:r w:rsidR="0051355B" w:rsidRPr="00EE16F9">
        <w:rPr>
          <w:rFonts w:ascii="Times New Roman" w:hAnsi="Times New Roman" w:cs="Times New Roman"/>
          <w:sz w:val="24"/>
          <w:szCs w:val="24"/>
        </w:rPr>
        <w:t>.</w:t>
      </w:r>
      <w:r w:rsidR="00BC059D" w:rsidRPr="00EE16F9">
        <w:rPr>
          <w:rFonts w:ascii="Times New Roman" w:hAnsi="Times New Roman" w:cs="Times New Roman"/>
          <w:sz w:val="24"/>
          <w:szCs w:val="24"/>
        </w:rPr>
        <w:t xml:space="preserve"> </w:t>
      </w:r>
      <w:r w:rsidR="00DA24DC">
        <w:rPr>
          <w:rFonts w:ascii="Times New Roman" w:hAnsi="Times New Roman" w:cs="Times New Roman"/>
          <w:sz w:val="24"/>
          <w:szCs w:val="24"/>
        </w:rPr>
        <w:t>As a result, in its</w:t>
      </w:r>
      <w:r w:rsidR="00C540F4">
        <w:rPr>
          <w:rFonts w:ascii="Times New Roman" w:hAnsi="Times New Roman" w:cs="Times New Roman"/>
          <w:sz w:val="24"/>
          <w:szCs w:val="24"/>
        </w:rPr>
        <w:t xml:space="preserve"> effect, </w:t>
      </w:r>
      <w:r w:rsidR="00D41D12">
        <w:rPr>
          <w:rFonts w:ascii="Times New Roman" w:hAnsi="Times New Roman" w:cs="Times New Roman"/>
          <w:sz w:val="24"/>
          <w:szCs w:val="24"/>
        </w:rPr>
        <w:t>the law, as implemented by the P</w:t>
      </w:r>
      <w:r w:rsidR="00DA24DC">
        <w:rPr>
          <w:rFonts w:ascii="Times New Roman" w:hAnsi="Times New Roman" w:cs="Times New Roman"/>
          <w:sz w:val="24"/>
          <w:szCs w:val="24"/>
        </w:rPr>
        <w:t>olicy,</w:t>
      </w:r>
      <w:r w:rsidR="00D41D12">
        <w:rPr>
          <w:rFonts w:ascii="Times New Roman" w:hAnsi="Times New Roman" w:cs="Times New Roman"/>
          <w:sz w:val="24"/>
          <w:szCs w:val="24"/>
        </w:rPr>
        <w:t xml:space="preserve"> also</w:t>
      </w:r>
      <w:r w:rsidR="00DA24DC">
        <w:rPr>
          <w:rFonts w:ascii="Times New Roman" w:hAnsi="Times New Roman" w:cs="Times New Roman"/>
          <w:sz w:val="24"/>
          <w:szCs w:val="24"/>
        </w:rPr>
        <w:t xml:space="preserve"> draws a distinction </w:t>
      </w:r>
      <w:proofErr w:type="gramStart"/>
      <w:r w:rsidR="00DA24DC">
        <w:rPr>
          <w:rFonts w:ascii="Times New Roman" w:hAnsi="Times New Roman" w:cs="Times New Roman"/>
          <w:sz w:val="24"/>
          <w:szCs w:val="24"/>
        </w:rPr>
        <w:t>on the basis of</w:t>
      </w:r>
      <w:proofErr w:type="gramEnd"/>
      <w:r w:rsidR="00FE66B6">
        <w:rPr>
          <w:rFonts w:ascii="Times New Roman" w:hAnsi="Times New Roman" w:cs="Times New Roman"/>
          <w:sz w:val="24"/>
          <w:szCs w:val="24"/>
        </w:rPr>
        <w:t xml:space="preserve"> the analogous ground of</w:t>
      </w:r>
      <w:r w:rsidR="00DA24DC">
        <w:rPr>
          <w:rFonts w:ascii="Times New Roman" w:hAnsi="Times New Roman" w:cs="Times New Roman"/>
          <w:sz w:val="24"/>
          <w:szCs w:val="24"/>
        </w:rPr>
        <w:t xml:space="preserve"> marital</w:t>
      </w:r>
      <w:r w:rsidR="00FE66B6">
        <w:rPr>
          <w:rFonts w:ascii="Times New Roman" w:hAnsi="Times New Roman" w:cs="Times New Roman"/>
          <w:sz w:val="24"/>
          <w:szCs w:val="24"/>
        </w:rPr>
        <w:t xml:space="preserve"> </w:t>
      </w:r>
      <w:r w:rsidR="00DA24DC">
        <w:rPr>
          <w:rFonts w:ascii="Times New Roman" w:hAnsi="Times New Roman" w:cs="Times New Roman"/>
          <w:sz w:val="24"/>
          <w:szCs w:val="24"/>
        </w:rPr>
        <w:t>status.</w:t>
      </w:r>
      <w:r w:rsidR="00FE66B6" w:rsidRPr="00D65C93">
        <w:rPr>
          <w:rStyle w:val="FootnoteReference"/>
          <w:rFonts w:ascii="Times New Roman" w:hAnsi="Times New Roman" w:cs="Times New Roman"/>
          <w:sz w:val="24"/>
          <w:szCs w:val="24"/>
        </w:rPr>
        <w:footnoteReference w:id="36"/>
      </w:r>
      <w:r w:rsidR="00C86FAA">
        <w:rPr>
          <w:rFonts w:ascii="Times New Roman" w:hAnsi="Times New Roman" w:cs="Times New Roman"/>
          <w:sz w:val="24"/>
          <w:szCs w:val="24"/>
        </w:rPr>
        <w:t xml:space="preserve"> This, too, satisfies the first stage of the </w:t>
      </w:r>
      <w:proofErr w:type="gramStart"/>
      <w:r w:rsidR="00C86FAA">
        <w:rPr>
          <w:rFonts w:ascii="Times New Roman" w:hAnsi="Times New Roman" w:cs="Times New Roman"/>
          <w:sz w:val="24"/>
          <w:szCs w:val="24"/>
        </w:rPr>
        <w:t>s.15(</w:t>
      </w:r>
      <w:proofErr w:type="gramEnd"/>
      <w:r w:rsidR="00C86FAA">
        <w:rPr>
          <w:rFonts w:ascii="Times New Roman" w:hAnsi="Times New Roman" w:cs="Times New Roman"/>
          <w:sz w:val="24"/>
          <w:szCs w:val="24"/>
        </w:rPr>
        <w:t>1) analysis</w:t>
      </w:r>
      <w:r w:rsidR="00BC059D" w:rsidRPr="00EE16F9">
        <w:rPr>
          <w:rFonts w:ascii="Times New Roman" w:hAnsi="Times New Roman" w:cs="Times New Roman"/>
          <w:sz w:val="24"/>
          <w:szCs w:val="24"/>
        </w:rPr>
        <w:t>.</w:t>
      </w:r>
      <w:r w:rsidR="00BC059D" w:rsidRPr="00DB384A">
        <w:rPr>
          <w:rStyle w:val="FootnoteReference"/>
          <w:rFonts w:ascii="Times New Roman" w:hAnsi="Times New Roman" w:cs="Times New Roman"/>
          <w:sz w:val="24"/>
          <w:szCs w:val="24"/>
        </w:rPr>
        <w:footnoteReference w:id="37"/>
      </w:r>
    </w:p>
    <w:p w:rsidR="00FD145D" w:rsidRPr="00B354CC" w:rsidRDefault="006678E2" w:rsidP="009A4E07">
      <w:pPr>
        <w:pStyle w:val="FactumHeadingL3"/>
        <w:spacing w:after="240"/>
        <w:rPr>
          <w:rFonts w:ascii="Times New Roman" w:hAnsi="Times New Roman" w:cs="Times New Roman"/>
          <w:sz w:val="24"/>
          <w:szCs w:val="24"/>
        </w:rPr>
      </w:pPr>
      <w:r w:rsidRPr="00B354CC">
        <w:rPr>
          <w:rFonts w:ascii="Times New Roman" w:hAnsi="Times New Roman" w:cs="Times New Roman"/>
          <w:sz w:val="24"/>
          <w:szCs w:val="24"/>
        </w:rPr>
        <w:t>A</w:t>
      </w:r>
      <w:r w:rsidR="00324B6A" w:rsidRPr="00B354CC">
        <w:rPr>
          <w:rFonts w:ascii="Times New Roman" w:hAnsi="Times New Roman" w:cs="Times New Roman"/>
          <w:sz w:val="24"/>
          <w:szCs w:val="24"/>
        </w:rPr>
        <w:t xml:space="preserve"> contextual</w:t>
      </w:r>
      <w:r w:rsidR="00AD63A4" w:rsidRPr="00B354CC">
        <w:rPr>
          <w:rFonts w:ascii="Times New Roman" w:hAnsi="Times New Roman" w:cs="Times New Roman"/>
          <w:sz w:val="24"/>
          <w:szCs w:val="24"/>
        </w:rPr>
        <w:t xml:space="preserve"> and historical</w:t>
      </w:r>
      <w:r w:rsidR="00324B6A" w:rsidRPr="00B354CC">
        <w:rPr>
          <w:rFonts w:ascii="Times New Roman" w:hAnsi="Times New Roman" w:cs="Times New Roman"/>
          <w:sz w:val="24"/>
          <w:szCs w:val="24"/>
        </w:rPr>
        <w:t xml:space="preserve"> approach to </w:t>
      </w:r>
      <w:r w:rsidR="0037774D" w:rsidRPr="00B354CC">
        <w:rPr>
          <w:rFonts w:ascii="Times New Roman" w:hAnsi="Times New Roman" w:cs="Times New Roman"/>
          <w:sz w:val="24"/>
          <w:szCs w:val="24"/>
        </w:rPr>
        <w:t xml:space="preserve">whether s.6 of the </w:t>
      </w:r>
      <w:r w:rsidR="0037774D" w:rsidRPr="00B354CC">
        <w:rPr>
          <w:rFonts w:ascii="Times New Roman" w:hAnsi="Times New Roman" w:cs="Times New Roman"/>
          <w:i/>
          <w:sz w:val="24"/>
          <w:szCs w:val="24"/>
        </w:rPr>
        <w:t xml:space="preserve">Indian Act </w:t>
      </w:r>
      <w:r w:rsidR="0037774D" w:rsidRPr="00B354CC">
        <w:rPr>
          <w:rFonts w:ascii="Times New Roman" w:hAnsi="Times New Roman" w:cs="Times New Roman"/>
          <w:sz w:val="24"/>
          <w:szCs w:val="24"/>
        </w:rPr>
        <w:t xml:space="preserve">and the “Proof of Paternity Policy” </w:t>
      </w:r>
      <w:r w:rsidR="00AD4A97" w:rsidRPr="00B354CC">
        <w:rPr>
          <w:rFonts w:ascii="Times New Roman" w:hAnsi="Times New Roman" w:cs="Times New Roman"/>
          <w:sz w:val="24"/>
          <w:szCs w:val="24"/>
        </w:rPr>
        <w:t xml:space="preserve">perpetuates </w:t>
      </w:r>
      <w:r w:rsidR="003759F5" w:rsidRPr="00B354CC">
        <w:rPr>
          <w:rFonts w:ascii="Times New Roman" w:hAnsi="Times New Roman" w:cs="Times New Roman"/>
          <w:sz w:val="24"/>
          <w:szCs w:val="24"/>
        </w:rPr>
        <w:t xml:space="preserve">arbitrary </w:t>
      </w:r>
      <w:r w:rsidR="0037774D" w:rsidRPr="00B354CC">
        <w:rPr>
          <w:rFonts w:ascii="Times New Roman" w:hAnsi="Times New Roman" w:cs="Times New Roman"/>
          <w:sz w:val="24"/>
          <w:szCs w:val="24"/>
        </w:rPr>
        <w:t>disadvantage</w:t>
      </w:r>
    </w:p>
    <w:p w:rsidR="001E75DB" w:rsidRPr="00DB384A" w:rsidRDefault="0037774D" w:rsidP="004251D7">
      <w:pPr>
        <w:pStyle w:val="FactumBodyL1"/>
        <w:spacing w:after="120"/>
        <w:ind w:left="0" w:firstLine="0"/>
        <w:rPr>
          <w:rFonts w:ascii="Times New Roman" w:hAnsi="Times New Roman" w:cs="Times New Roman"/>
          <w:sz w:val="24"/>
          <w:szCs w:val="24"/>
        </w:rPr>
      </w:pPr>
      <w:proofErr w:type="gramStart"/>
      <w:r w:rsidRPr="00DB384A">
        <w:rPr>
          <w:rFonts w:ascii="Times New Roman" w:hAnsi="Times New Roman" w:cs="Times New Roman"/>
          <w:sz w:val="24"/>
          <w:szCs w:val="24"/>
        </w:rPr>
        <w:t>At the second stage of the s. 15(1) analysis, the question is whether the impugn</w:t>
      </w:r>
      <w:r w:rsidR="00057505" w:rsidRPr="00DB384A">
        <w:rPr>
          <w:rFonts w:ascii="Times New Roman" w:hAnsi="Times New Roman" w:cs="Times New Roman"/>
          <w:sz w:val="24"/>
          <w:szCs w:val="24"/>
        </w:rPr>
        <w:t xml:space="preserve">ed law and policy </w:t>
      </w:r>
      <w:r w:rsidR="00BF4641" w:rsidRPr="00DB384A">
        <w:rPr>
          <w:rFonts w:ascii="Times New Roman" w:hAnsi="Times New Roman" w:cs="Times New Roman"/>
          <w:sz w:val="24"/>
          <w:szCs w:val="24"/>
        </w:rPr>
        <w:t xml:space="preserve">is discriminatory because it </w:t>
      </w:r>
      <w:r w:rsidR="00057505" w:rsidRPr="00DB384A">
        <w:rPr>
          <w:rFonts w:ascii="Times New Roman" w:hAnsi="Times New Roman" w:cs="Times New Roman"/>
          <w:sz w:val="24"/>
          <w:szCs w:val="24"/>
        </w:rPr>
        <w:t>perpetuate</w:t>
      </w:r>
      <w:r w:rsidR="00BF4641" w:rsidRPr="00DB384A">
        <w:rPr>
          <w:rFonts w:ascii="Times New Roman" w:hAnsi="Times New Roman" w:cs="Times New Roman"/>
          <w:sz w:val="24"/>
          <w:szCs w:val="24"/>
        </w:rPr>
        <w:t>s</w:t>
      </w:r>
      <w:r w:rsidR="00057505" w:rsidRPr="00DB384A">
        <w:rPr>
          <w:rFonts w:ascii="Times New Roman" w:hAnsi="Times New Roman" w:cs="Times New Roman"/>
          <w:sz w:val="24"/>
          <w:szCs w:val="24"/>
        </w:rPr>
        <w:t xml:space="preserve"> arbitrary disadvantage</w:t>
      </w:r>
      <w:r w:rsidR="00C74B72">
        <w:rPr>
          <w:rFonts w:ascii="Times New Roman" w:hAnsi="Times New Roman" w:cs="Times New Roman"/>
          <w:sz w:val="24"/>
          <w:szCs w:val="24"/>
        </w:rPr>
        <w:t xml:space="preserve"> </w:t>
      </w:r>
      <w:r w:rsidR="00E3455C" w:rsidRPr="00DB384A">
        <w:rPr>
          <w:rFonts w:ascii="Times New Roman" w:hAnsi="Times New Roman" w:cs="Times New Roman"/>
          <w:sz w:val="24"/>
          <w:szCs w:val="24"/>
        </w:rPr>
        <w:t>against members of the protected group</w:t>
      </w:r>
      <w:r w:rsidR="00F3619E" w:rsidRPr="00DB384A">
        <w:rPr>
          <w:rFonts w:ascii="Times New Roman" w:hAnsi="Times New Roman" w:cs="Times New Roman"/>
          <w:sz w:val="24"/>
          <w:szCs w:val="24"/>
        </w:rPr>
        <w:t xml:space="preserve"> </w:t>
      </w:r>
      <w:r w:rsidR="00C74B72">
        <w:rPr>
          <w:rFonts w:ascii="Times New Roman" w:hAnsi="Times New Roman" w:cs="Times New Roman"/>
          <w:sz w:val="24"/>
          <w:szCs w:val="24"/>
        </w:rPr>
        <w:t xml:space="preserve">– that is, </w:t>
      </w:r>
      <w:r w:rsidR="00166F32" w:rsidRPr="00DB384A">
        <w:rPr>
          <w:rFonts w:ascii="Times New Roman" w:hAnsi="Times New Roman" w:cs="Times New Roman"/>
          <w:sz w:val="24"/>
          <w:szCs w:val="24"/>
        </w:rPr>
        <w:t>“whether the impugned law fails to respond to the actual capacities and needs of the members of the group” and instead “has the effect of reinforcing, perpetuating or exacerbating their disadvantage</w:t>
      </w:r>
      <w:r w:rsidR="000A41C0" w:rsidRPr="00DB384A">
        <w:rPr>
          <w:rFonts w:ascii="Times New Roman" w:hAnsi="Times New Roman" w:cs="Times New Roman"/>
          <w:sz w:val="24"/>
          <w:szCs w:val="24"/>
        </w:rPr>
        <w:t>.</w:t>
      </w:r>
      <w:r w:rsidR="00166F32" w:rsidRPr="00DB384A">
        <w:rPr>
          <w:rFonts w:ascii="Times New Roman" w:hAnsi="Times New Roman" w:cs="Times New Roman"/>
          <w:sz w:val="24"/>
          <w:szCs w:val="24"/>
        </w:rPr>
        <w:t>”</w:t>
      </w:r>
      <w:r w:rsidR="00166F32" w:rsidRPr="00DB384A">
        <w:rPr>
          <w:rStyle w:val="FootnoteReference"/>
          <w:rFonts w:ascii="Times New Roman" w:hAnsi="Times New Roman" w:cs="Times New Roman"/>
          <w:sz w:val="24"/>
          <w:szCs w:val="24"/>
        </w:rPr>
        <w:footnoteReference w:id="38"/>
      </w:r>
      <w:proofErr w:type="gramEnd"/>
    </w:p>
    <w:p w:rsidR="009237E9" w:rsidRDefault="00FD145D" w:rsidP="009237E9">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As the Supreme Co</w:t>
      </w:r>
      <w:r w:rsidR="008136C7" w:rsidRPr="00DB384A">
        <w:rPr>
          <w:rFonts w:ascii="Times New Roman" w:hAnsi="Times New Roman" w:cs="Times New Roman"/>
          <w:sz w:val="24"/>
          <w:szCs w:val="24"/>
        </w:rPr>
        <w:t>urt has repeatedly</w:t>
      </w:r>
      <w:r w:rsidR="001E336A" w:rsidRPr="00DB384A">
        <w:rPr>
          <w:rFonts w:ascii="Times New Roman" w:hAnsi="Times New Roman" w:cs="Times New Roman"/>
          <w:sz w:val="24"/>
          <w:szCs w:val="24"/>
        </w:rPr>
        <w:t xml:space="preserve"> emphasized</w:t>
      </w:r>
      <w:r w:rsidR="008136C7" w:rsidRPr="00DB384A">
        <w:rPr>
          <w:rFonts w:ascii="Times New Roman" w:hAnsi="Times New Roman" w:cs="Times New Roman"/>
          <w:sz w:val="24"/>
          <w:szCs w:val="24"/>
        </w:rPr>
        <w:t xml:space="preserve">, </w:t>
      </w:r>
      <w:r w:rsidR="00C85EC2" w:rsidRPr="00DB384A">
        <w:rPr>
          <w:rFonts w:ascii="Times New Roman" w:hAnsi="Times New Roman" w:cs="Times New Roman"/>
          <w:sz w:val="24"/>
          <w:szCs w:val="24"/>
        </w:rPr>
        <w:t>a s</w:t>
      </w:r>
      <w:r w:rsidR="00BF4641" w:rsidRPr="00DB384A">
        <w:rPr>
          <w:rFonts w:ascii="Times New Roman" w:hAnsi="Times New Roman" w:cs="Times New Roman"/>
          <w:sz w:val="24"/>
          <w:szCs w:val="24"/>
        </w:rPr>
        <w:t xml:space="preserve">ubstantive equality approach </w:t>
      </w:r>
      <w:r w:rsidR="00183A32" w:rsidRPr="00DB384A">
        <w:rPr>
          <w:rFonts w:ascii="Times New Roman" w:hAnsi="Times New Roman" w:cs="Times New Roman"/>
          <w:sz w:val="24"/>
          <w:szCs w:val="24"/>
        </w:rPr>
        <w:t xml:space="preserve">to whether a law or policy is discriminatory </w:t>
      </w:r>
      <w:r w:rsidRPr="00DB384A">
        <w:rPr>
          <w:rFonts w:ascii="Times New Roman" w:hAnsi="Times New Roman" w:cs="Times New Roman"/>
          <w:sz w:val="24"/>
          <w:szCs w:val="24"/>
        </w:rPr>
        <w:t>requires considerat</w:t>
      </w:r>
      <w:r w:rsidR="00C525F4">
        <w:rPr>
          <w:rFonts w:ascii="Times New Roman" w:hAnsi="Times New Roman" w:cs="Times New Roman"/>
          <w:sz w:val="24"/>
          <w:szCs w:val="24"/>
        </w:rPr>
        <w:t xml:space="preserve">ion, from the </w:t>
      </w:r>
      <w:r w:rsidRPr="00DB384A">
        <w:rPr>
          <w:rFonts w:ascii="Times New Roman" w:hAnsi="Times New Roman" w:cs="Times New Roman"/>
          <w:sz w:val="24"/>
          <w:szCs w:val="24"/>
        </w:rPr>
        <w:t xml:space="preserve">claimants’ </w:t>
      </w:r>
      <w:r w:rsidRPr="00DB384A">
        <w:rPr>
          <w:rFonts w:ascii="Times New Roman" w:hAnsi="Times New Roman" w:cs="Times New Roman"/>
          <w:sz w:val="24"/>
          <w:szCs w:val="24"/>
        </w:rPr>
        <w:lastRenderedPageBreak/>
        <w:t>perspective,</w:t>
      </w:r>
      <w:r w:rsidR="00DF394A" w:rsidRPr="00DB384A">
        <w:rPr>
          <w:rFonts w:ascii="Times New Roman" w:hAnsi="Times New Roman" w:cs="Times New Roman"/>
          <w:sz w:val="24"/>
          <w:szCs w:val="24"/>
        </w:rPr>
        <w:t xml:space="preserve"> </w:t>
      </w:r>
      <w:r w:rsidR="002F4F34" w:rsidRPr="00DB384A">
        <w:rPr>
          <w:rFonts w:ascii="Times New Roman" w:hAnsi="Times New Roman" w:cs="Times New Roman"/>
          <w:sz w:val="24"/>
          <w:szCs w:val="24"/>
        </w:rPr>
        <w:t xml:space="preserve">of </w:t>
      </w:r>
      <w:r w:rsidR="00DF394A" w:rsidRPr="00DB384A">
        <w:rPr>
          <w:rFonts w:ascii="Times New Roman" w:hAnsi="Times New Roman" w:cs="Times New Roman"/>
          <w:sz w:val="24"/>
          <w:szCs w:val="24"/>
        </w:rPr>
        <w:t>the</w:t>
      </w:r>
      <w:r w:rsidRPr="00DB384A">
        <w:rPr>
          <w:rFonts w:ascii="Times New Roman" w:hAnsi="Times New Roman" w:cs="Times New Roman"/>
          <w:sz w:val="24"/>
          <w:szCs w:val="24"/>
        </w:rPr>
        <w:t xml:space="preserve"> “actual impact of the impugned law, taking full account of social, political,</w:t>
      </w:r>
      <w:r w:rsidR="00FC561A" w:rsidRPr="00DB384A">
        <w:rPr>
          <w:rFonts w:ascii="Times New Roman" w:hAnsi="Times New Roman" w:cs="Times New Roman"/>
          <w:sz w:val="24"/>
          <w:szCs w:val="24"/>
        </w:rPr>
        <w:t xml:space="preserve"> economic, and historic factors.</w:t>
      </w:r>
      <w:r w:rsidR="00C525F4">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39"/>
      </w:r>
      <w:r w:rsidR="00435819" w:rsidRPr="00DB384A">
        <w:rPr>
          <w:rFonts w:ascii="Times New Roman" w:hAnsi="Times New Roman" w:cs="Times New Roman"/>
          <w:sz w:val="24"/>
          <w:szCs w:val="24"/>
        </w:rPr>
        <w:t xml:space="preserve"> </w:t>
      </w:r>
      <w:r w:rsidR="00FC561A" w:rsidRPr="00DB384A">
        <w:rPr>
          <w:rFonts w:ascii="Times New Roman" w:hAnsi="Times New Roman" w:cs="Times New Roman"/>
          <w:sz w:val="24"/>
          <w:szCs w:val="24"/>
        </w:rPr>
        <w:t xml:space="preserve">The analysis is </w:t>
      </w:r>
      <w:r w:rsidRPr="00DB384A">
        <w:rPr>
          <w:rFonts w:ascii="Times New Roman" w:hAnsi="Times New Roman" w:cs="Times New Roman"/>
          <w:sz w:val="24"/>
          <w:szCs w:val="24"/>
        </w:rPr>
        <w:t xml:space="preserve">“grounded in the actual situation of the group and the potential of the impugned </w:t>
      </w:r>
      <w:r w:rsidR="001E75DB" w:rsidRPr="00DB384A">
        <w:rPr>
          <w:rFonts w:ascii="Times New Roman" w:hAnsi="Times New Roman" w:cs="Times New Roman"/>
          <w:sz w:val="24"/>
          <w:szCs w:val="24"/>
        </w:rPr>
        <w:t>law to worsen their situation.”</w:t>
      </w:r>
      <w:r w:rsidRPr="00DB384A">
        <w:rPr>
          <w:rStyle w:val="FootnoteReference"/>
          <w:rFonts w:ascii="Times New Roman" w:hAnsi="Times New Roman" w:cs="Times New Roman"/>
          <w:sz w:val="24"/>
          <w:szCs w:val="24"/>
        </w:rPr>
        <w:footnoteReference w:id="40"/>
      </w:r>
      <w:r w:rsidR="00057505" w:rsidRPr="00DB384A">
        <w:rPr>
          <w:rFonts w:ascii="Times New Roman" w:hAnsi="Times New Roman" w:cs="Times New Roman"/>
          <w:sz w:val="24"/>
          <w:szCs w:val="24"/>
        </w:rPr>
        <w:t xml:space="preserve"> </w:t>
      </w:r>
      <w:proofErr w:type="gramStart"/>
      <w:r w:rsidR="00057505" w:rsidRPr="00DB384A">
        <w:rPr>
          <w:rFonts w:ascii="Times New Roman" w:hAnsi="Times New Roman" w:cs="Times New Roman"/>
          <w:sz w:val="24"/>
          <w:szCs w:val="24"/>
        </w:rPr>
        <w:t>Taking this context into acco</w:t>
      </w:r>
      <w:r w:rsidR="007E6E6D" w:rsidRPr="00DB384A">
        <w:rPr>
          <w:rFonts w:ascii="Times New Roman" w:hAnsi="Times New Roman" w:cs="Times New Roman"/>
          <w:sz w:val="24"/>
          <w:szCs w:val="24"/>
        </w:rPr>
        <w:t>unt</w:t>
      </w:r>
      <w:proofErr w:type="gramEnd"/>
      <w:r w:rsidR="007E6E6D" w:rsidRPr="00DB384A">
        <w:rPr>
          <w:rFonts w:ascii="Times New Roman" w:hAnsi="Times New Roman" w:cs="Times New Roman"/>
          <w:sz w:val="24"/>
          <w:szCs w:val="24"/>
        </w:rPr>
        <w:t>, where a law or policy</w:t>
      </w:r>
      <w:r w:rsidR="00057505" w:rsidRPr="00DB384A">
        <w:rPr>
          <w:rFonts w:ascii="Times New Roman" w:hAnsi="Times New Roman" w:cs="Times New Roman"/>
          <w:sz w:val="24"/>
          <w:szCs w:val="24"/>
        </w:rPr>
        <w:t xml:space="preserve"> “widen</w:t>
      </w:r>
      <w:r w:rsidR="007E6E6D" w:rsidRPr="00DB384A">
        <w:rPr>
          <w:rFonts w:ascii="Times New Roman" w:hAnsi="Times New Roman" w:cs="Times New Roman"/>
          <w:sz w:val="24"/>
          <w:szCs w:val="24"/>
        </w:rPr>
        <w:t>s</w:t>
      </w:r>
      <w:r w:rsidR="00057505" w:rsidRPr="00DB384A">
        <w:rPr>
          <w:rFonts w:ascii="Times New Roman" w:hAnsi="Times New Roman" w:cs="Times New Roman"/>
          <w:sz w:val="24"/>
          <w:szCs w:val="24"/>
        </w:rPr>
        <w:t xml:space="preserve"> the gap between the historically disadvantaged group and the rest of society rather than narrowing it, then it is discriminatory.</w:t>
      </w:r>
      <w:r w:rsidR="008136C7" w:rsidRPr="00DB384A">
        <w:rPr>
          <w:rFonts w:ascii="Times New Roman" w:hAnsi="Times New Roman" w:cs="Times New Roman"/>
          <w:sz w:val="24"/>
          <w:szCs w:val="24"/>
        </w:rPr>
        <w:t>”</w:t>
      </w:r>
      <w:r w:rsidR="00057505" w:rsidRPr="00DB384A">
        <w:rPr>
          <w:rStyle w:val="FootnoteReference"/>
          <w:rFonts w:ascii="Times New Roman" w:hAnsi="Times New Roman" w:cs="Times New Roman"/>
          <w:sz w:val="24"/>
          <w:szCs w:val="24"/>
        </w:rPr>
        <w:footnoteReference w:id="41"/>
      </w:r>
      <w:r w:rsidR="00563B86" w:rsidRPr="00DB384A">
        <w:rPr>
          <w:rFonts w:ascii="Times New Roman" w:hAnsi="Times New Roman" w:cs="Times New Roman"/>
          <w:sz w:val="24"/>
          <w:szCs w:val="24"/>
        </w:rPr>
        <w:t xml:space="preserve"> </w:t>
      </w:r>
      <w:r w:rsidR="00796287">
        <w:rPr>
          <w:rFonts w:ascii="Times New Roman" w:hAnsi="Times New Roman" w:cs="Times New Roman"/>
          <w:sz w:val="24"/>
          <w:szCs w:val="24"/>
        </w:rPr>
        <w:t>In this case</w:t>
      </w:r>
      <w:r w:rsidR="00226483">
        <w:rPr>
          <w:rFonts w:ascii="Times New Roman" w:hAnsi="Times New Roman" w:cs="Times New Roman"/>
          <w:sz w:val="24"/>
          <w:szCs w:val="24"/>
        </w:rPr>
        <w:t xml:space="preserve">, </w:t>
      </w:r>
      <w:r w:rsidR="008D47BF">
        <w:rPr>
          <w:rFonts w:ascii="Times New Roman" w:hAnsi="Times New Roman" w:cs="Times New Roman"/>
          <w:sz w:val="24"/>
          <w:szCs w:val="24"/>
        </w:rPr>
        <w:t xml:space="preserve">the distinction made by s. 6 and the Policy discriminates against Indigenous women by denying </w:t>
      </w:r>
      <w:r w:rsidR="00E20522">
        <w:rPr>
          <w:rFonts w:ascii="Times New Roman" w:hAnsi="Times New Roman" w:cs="Times New Roman"/>
          <w:sz w:val="24"/>
          <w:szCs w:val="24"/>
        </w:rPr>
        <w:t xml:space="preserve">them </w:t>
      </w:r>
      <w:r w:rsidR="00BD7411">
        <w:rPr>
          <w:rFonts w:ascii="Times New Roman" w:hAnsi="Times New Roman" w:cs="Times New Roman"/>
          <w:sz w:val="24"/>
          <w:szCs w:val="24"/>
        </w:rPr>
        <w:t>equal benefit of the law</w:t>
      </w:r>
      <w:r w:rsidR="008D47BF">
        <w:rPr>
          <w:rFonts w:ascii="Times New Roman" w:hAnsi="Times New Roman" w:cs="Times New Roman"/>
          <w:sz w:val="24"/>
          <w:szCs w:val="24"/>
        </w:rPr>
        <w:t xml:space="preserve">. </w:t>
      </w:r>
    </w:p>
    <w:p w:rsidR="00057420" w:rsidRPr="00DB384A" w:rsidRDefault="00057420" w:rsidP="009A4E07">
      <w:pPr>
        <w:pStyle w:val="FactumBodyL1"/>
        <w:numPr>
          <w:ilvl w:val="0"/>
          <w:numId w:val="0"/>
        </w:numPr>
        <w:spacing w:line="240" w:lineRule="auto"/>
        <w:ind w:left="720"/>
        <w:rPr>
          <w:rFonts w:ascii="Times New Roman" w:hAnsi="Times New Roman" w:cs="Times New Roman"/>
          <w:sz w:val="24"/>
          <w:szCs w:val="24"/>
        </w:rPr>
      </w:pPr>
      <w:r w:rsidRPr="00DB384A">
        <w:rPr>
          <w:rFonts w:ascii="Times New Roman" w:hAnsi="Times New Roman" w:cs="Times New Roman"/>
          <w:b/>
          <w:i/>
          <w:sz w:val="24"/>
          <w:szCs w:val="24"/>
        </w:rPr>
        <w:t xml:space="preserve">a) Section 6 and the Proof of Paternity Policy </w:t>
      </w:r>
      <w:r w:rsidR="00FC561A" w:rsidRPr="00DB384A">
        <w:rPr>
          <w:rFonts w:ascii="Times New Roman" w:hAnsi="Times New Roman" w:cs="Times New Roman"/>
          <w:b/>
          <w:i/>
          <w:sz w:val="24"/>
          <w:szCs w:val="24"/>
        </w:rPr>
        <w:t>“widens the gap”</w:t>
      </w:r>
      <w:r w:rsidR="003A5BB9" w:rsidRPr="00DB384A">
        <w:rPr>
          <w:rFonts w:ascii="Times New Roman" w:hAnsi="Times New Roman" w:cs="Times New Roman"/>
          <w:b/>
          <w:i/>
          <w:sz w:val="24"/>
          <w:szCs w:val="24"/>
        </w:rPr>
        <w:t xml:space="preserve"> between a historically disadvantaged group and the rest of society</w:t>
      </w:r>
      <w:r w:rsidRPr="00DB384A">
        <w:rPr>
          <w:rFonts w:ascii="Times New Roman" w:hAnsi="Times New Roman" w:cs="Times New Roman"/>
          <w:sz w:val="24"/>
          <w:szCs w:val="24"/>
        </w:rPr>
        <w:t xml:space="preserve"> </w:t>
      </w:r>
    </w:p>
    <w:p w:rsidR="00BD7411" w:rsidRDefault="0096053E" w:rsidP="00BD7411">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This Court</w:t>
      </w:r>
      <w:r w:rsidR="00BD7411">
        <w:rPr>
          <w:rFonts w:ascii="Times New Roman" w:hAnsi="Times New Roman" w:cs="Times New Roman"/>
          <w:sz w:val="24"/>
          <w:szCs w:val="24"/>
        </w:rPr>
        <w:t xml:space="preserve"> </w:t>
      </w:r>
      <w:r w:rsidR="008D47BF">
        <w:rPr>
          <w:rFonts w:ascii="Times New Roman" w:hAnsi="Times New Roman" w:cs="Times New Roman"/>
          <w:sz w:val="24"/>
          <w:szCs w:val="24"/>
        </w:rPr>
        <w:t>may</w:t>
      </w:r>
      <w:r w:rsidRPr="00DB384A">
        <w:rPr>
          <w:rFonts w:ascii="Times New Roman" w:hAnsi="Times New Roman" w:cs="Times New Roman"/>
          <w:sz w:val="24"/>
          <w:szCs w:val="24"/>
        </w:rPr>
        <w:t xml:space="preserve"> take judicial notice of</w:t>
      </w:r>
      <w:r w:rsidR="00F05BDC" w:rsidRPr="00DB384A">
        <w:rPr>
          <w:rFonts w:ascii="Times New Roman" w:hAnsi="Times New Roman" w:cs="Times New Roman"/>
          <w:sz w:val="24"/>
          <w:szCs w:val="24"/>
        </w:rPr>
        <w:t xml:space="preserve"> "facts which are (a) so notorious as not to be the subject of dispute among reasonable persons, or (b) capable of immediate and accurate demonstration by resorting to readily accessible sources of indisputable accuracy</w:t>
      </w:r>
      <w:r w:rsidR="00CE385A" w:rsidRPr="00DB384A">
        <w:rPr>
          <w:rFonts w:ascii="Times New Roman" w:hAnsi="Times New Roman" w:cs="Times New Roman"/>
          <w:sz w:val="24"/>
          <w:szCs w:val="24"/>
        </w:rPr>
        <w:t>,"</w:t>
      </w:r>
      <w:r w:rsidR="00F05BDC" w:rsidRPr="00DB384A">
        <w:rPr>
          <w:rStyle w:val="FootnoteReference"/>
          <w:rFonts w:ascii="Times New Roman" w:hAnsi="Times New Roman" w:cs="Times New Roman"/>
          <w:sz w:val="24"/>
          <w:szCs w:val="24"/>
        </w:rPr>
        <w:footnoteReference w:id="42"/>
      </w:r>
      <w:r w:rsidR="00BF421B" w:rsidRPr="00DB384A">
        <w:rPr>
          <w:rFonts w:ascii="Times New Roman" w:hAnsi="Times New Roman" w:cs="Times New Roman"/>
          <w:sz w:val="24"/>
          <w:szCs w:val="24"/>
        </w:rPr>
        <w:t xml:space="preserve"> including</w:t>
      </w:r>
      <w:r w:rsidR="00CE385A" w:rsidRPr="00DB384A">
        <w:rPr>
          <w:rFonts w:ascii="Times New Roman" w:hAnsi="Times New Roman" w:cs="Times New Roman"/>
          <w:sz w:val="24"/>
          <w:szCs w:val="24"/>
        </w:rPr>
        <w:t xml:space="preserve"> census data.</w:t>
      </w:r>
      <w:r w:rsidR="00CE385A" w:rsidRPr="00DB384A">
        <w:rPr>
          <w:rStyle w:val="FootnoteReference"/>
          <w:rFonts w:ascii="Times New Roman" w:hAnsi="Times New Roman" w:cs="Times New Roman"/>
          <w:sz w:val="24"/>
          <w:szCs w:val="24"/>
        </w:rPr>
        <w:footnoteReference w:id="43"/>
      </w:r>
      <w:r w:rsidR="003A0B34" w:rsidRPr="00DB384A">
        <w:rPr>
          <w:rFonts w:ascii="Times New Roman" w:hAnsi="Times New Roman" w:cs="Times New Roman"/>
          <w:sz w:val="24"/>
          <w:szCs w:val="24"/>
        </w:rPr>
        <w:t xml:space="preserve"> </w:t>
      </w:r>
      <w:r w:rsidR="009A4C02">
        <w:rPr>
          <w:rFonts w:ascii="Times New Roman" w:hAnsi="Times New Roman" w:cs="Times New Roman"/>
          <w:sz w:val="24"/>
          <w:szCs w:val="24"/>
        </w:rPr>
        <w:t>It is</w:t>
      </w:r>
      <w:r w:rsidR="003A0B34" w:rsidRPr="00BD7411">
        <w:rPr>
          <w:rFonts w:ascii="Times New Roman" w:hAnsi="Times New Roman" w:cs="Times New Roman"/>
          <w:sz w:val="24"/>
          <w:szCs w:val="24"/>
        </w:rPr>
        <w:t xml:space="preserve"> appropriate for this Court to take judicial notice of the broad systematic disadvantage</w:t>
      </w:r>
      <w:r w:rsidR="007E1231">
        <w:rPr>
          <w:rFonts w:ascii="Times New Roman" w:hAnsi="Times New Roman" w:cs="Times New Roman"/>
          <w:sz w:val="24"/>
          <w:szCs w:val="24"/>
        </w:rPr>
        <w:t xml:space="preserve"> confronted by Indigenous women, both historically and in contemporary Canada</w:t>
      </w:r>
      <w:r w:rsidR="00C34976" w:rsidRPr="00BD7411">
        <w:rPr>
          <w:rFonts w:ascii="Times New Roman" w:hAnsi="Times New Roman" w:cs="Times New Roman"/>
          <w:sz w:val="24"/>
          <w:szCs w:val="24"/>
        </w:rPr>
        <w:t>.</w:t>
      </w:r>
      <w:r w:rsidR="003A0B34" w:rsidRPr="00DB384A">
        <w:rPr>
          <w:rStyle w:val="FootnoteReference"/>
          <w:rFonts w:ascii="Times New Roman" w:hAnsi="Times New Roman" w:cs="Times New Roman"/>
          <w:sz w:val="24"/>
          <w:szCs w:val="24"/>
        </w:rPr>
        <w:footnoteReference w:id="44"/>
      </w:r>
      <w:r w:rsidR="00C34976" w:rsidRPr="00BD7411">
        <w:rPr>
          <w:rFonts w:ascii="Times New Roman" w:hAnsi="Times New Roman" w:cs="Times New Roman"/>
          <w:sz w:val="24"/>
          <w:szCs w:val="24"/>
        </w:rPr>
        <w:t xml:space="preserve"> This pat</w:t>
      </w:r>
      <w:r w:rsidR="0089148F" w:rsidRPr="00BD7411">
        <w:rPr>
          <w:rFonts w:ascii="Times New Roman" w:hAnsi="Times New Roman" w:cs="Times New Roman"/>
          <w:sz w:val="24"/>
          <w:szCs w:val="24"/>
        </w:rPr>
        <w:t>tern of systematic disadvantage</w:t>
      </w:r>
      <w:r w:rsidR="003A0B34" w:rsidRPr="00BD7411">
        <w:rPr>
          <w:rFonts w:ascii="Times New Roman" w:hAnsi="Times New Roman" w:cs="Times New Roman"/>
          <w:sz w:val="24"/>
          <w:szCs w:val="24"/>
        </w:rPr>
        <w:t xml:space="preserve"> has been</w:t>
      </w:r>
      <w:r w:rsidR="00C26C79" w:rsidRPr="00BD7411">
        <w:rPr>
          <w:rFonts w:ascii="Times New Roman" w:hAnsi="Times New Roman" w:cs="Times New Roman"/>
          <w:sz w:val="24"/>
          <w:szCs w:val="24"/>
        </w:rPr>
        <w:t xml:space="preserve"> widely</w:t>
      </w:r>
      <w:r w:rsidR="003A0B34" w:rsidRPr="00BD7411">
        <w:rPr>
          <w:rFonts w:ascii="Times New Roman" w:hAnsi="Times New Roman" w:cs="Times New Roman"/>
          <w:sz w:val="24"/>
          <w:szCs w:val="24"/>
        </w:rPr>
        <w:t xml:space="preserve"> recognized </w:t>
      </w:r>
      <w:r w:rsidR="005F2BBB" w:rsidRPr="00BD7411">
        <w:rPr>
          <w:rFonts w:ascii="Times New Roman" w:hAnsi="Times New Roman" w:cs="Times New Roman"/>
          <w:sz w:val="24"/>
          <w:szCs w:val="24"/>
        </w:rPr>
        <w:t xml:space="preserve">by </w:t>
      </w:r>
      <w:r w:rsidR="00B778CD" w:rsidRPr="00BD7411">
        <w:rPr>
          <w:rFonts w:ascii="Times New Roman" w:hAnsi="Times New Roman" w:cs="Times New Roman"/>
          <w:sz w:val="24"/>
          <w:szCs w:val="24"/>
        </w:rPr>
        <w:t>international human rights bodies</w:t>
      </w:r>
      <w:r w:rsidR="00C62E5A" w:rsidRPr="00DB384A">
        <w:rPr>
          <w:rStyle w:val="FootnoteReference"/>
          <w:rFonts w:ascii="Times New Roman" w:hAnsi="Times New Roman" w:cs="Times New Roman"/>
          <w:sz w:val="24"/>
          <w:szCs w:val="24"/>
        </w:rPr>
        <w:footnoteReference w:id="45"/>
      </w:r>
      <w:r w:rsidR="003A0B34" w:rsidRPr="00BD7411">
        <w:rPr>
          <w:rFonts w:ascii="Times New Roman" w:hAnsi="Times New Roman" w:cs="Times New Roman"/>
          <w:sz w:val="24"/>
          <w:szCs w:val="24"/>
        </w:rPr>
        <w:t xml:space="preserve"> and </w:t>
      </w:r>
      <w:proofErr w:type="gramStart"/>
      <w:r w:rsidR="003A0B34" w:rsidRPr="00BD7411">
        <w:rPr>
          <w:rFonts w:ascii="Times New Roman" w:hAnsi="Times New Roman" w:cs="Times New Roman"/>
          <w:sz w:val="24"/>
          <w:szCs w:val="24"/>
        </w:rPr>
        <w:t>is confirmed</w:t>
      </w:r>
      <w:proofErr w:type="gramEnd"/>
      <w:r w:rsidR="003A0B34" w:rsidRPr="00BD7411">
        <w:rPr>
          <w:rFonts w:ascii="Times New Roman" w:hAnsi="Times New Roman" w:cs="Times New Roman"/>
          <w:sz w:val="24"/>
          <w:szCs w:val="24"/>
        </w:rPr>
        <w:t xml:space="preserve"> by census data.</w:t>
      </w:r>
      <w:r w:rsidR="0021691B" w:rsidRPr="00BD7411">
        <w:rPr>
          <w:rFonts w:ascii="Times New Roman" w:hAnsi="Times New Roman" w:cs="Times New Roman"/>
          <w:sz w:val="24"/>
          <w:szCs w:val="24"/>
        </w:rPr>
        <w:t xml:space="preserve"> </w:t>
      </w:r>
    </w:p>
    <w:p w:rsidR="001E75DB" w:rsidRPr="00BD7411" w:rsidRDefault="00A74D9B" w:rsidP="00BD7411">
      <w:pPr>
        <w:pStyle w:val="FactumBodyL1"/>
        <w:spacing w:after="120"/>
        <w:ind w:left="0" w:firstLine="0"/>
        <w:rPr>
          <w:rFonts w:ascii="Times New Roman" w:hAnsi="Times New Roman" w:cs="Times New Roman"/>
          <w:sz w:val="24"/>
          <w:szCs w:val="24"/>
        </w:rPr>
      </w:pPr>
      <w:r w:rsidRPr="00BD7411">
        <w:rPr>
          <w:rFonts w:ascii="Times New Roman" w:hAnsi="Times New Roman" w:cs="Times New Roman"/>
          <w:sz w:val="24"/>
          <w:szCs w:val="24"/>
        </w:rPr>
        <w:lastRenderedPageBreak/>
        <w:t>Indigenous women in Canada have lower incomes and higher rates of unemployment than</w:t>
      </w:r>
      <w:r w:rsidR="00CF3EDA" w:rsidRPr="00BD7411">
        <w:rPr>
          <w:rFonts w:ascii="Times New Roman" w:hAnsi="Times New Roman" w:cs="Times New Roman"/>
          <w:sz w:val="24"/>
          <w:szCs w:val="24"/>
        </w:rPr>
        <w:t xml:space="preserve"> Indigenous men and</w:t>
      </w:r>
      <w:r w:rsidR="00C62E5A" w:rsidRPr="00BD7411">
        <w:rPr>
          <w:rFonts w:ascii="Times New Roman" w:hAnsi="Times New Roman" w:cs="Times New Roman"/>
          <w:sz w:val="24"/>
          <w:szCs w:val="24"/>
        </w:rPr>
        <w:t xml:space="preserve"> other women.</w:t>
      </w:r>
      <w:r w:rsidRPr="00DB384A">
        <w:rPr>
          <w:rStyle w:val="FootnoteReference"/>
          <w:rFonts w:ascii="Times New Roman" w:hAnsi="Times New Roman" w:cs="Times New Roman"/>
          <w:sz w:val="24"/>
          <w:szCs w:val="24"/>
        </w:rPr>
        <w:footnoteReference w:id="46"/>
      </w:r>
      <w:r w:rsidRPr="00BD7411">
        <w:rPr>
          <w:rFonts w:ascii="Times New Roman" w:hAnsi="Times New Roman" w:cs="Times New Roman"/>
          <w:sz w:val="24"/>
          <w:szCs w:val="24"/>
        </w:rPr>
        <w:t xml:space="preserve"> </w:t>
      </w:r>
      <w:r w:rsidR="00C62E5A" w:rsidRPr="00BD7411">
        <w:rPr>
          <w:rFonts w:ascii="Times New Roman" w:hAnsi="Times New Roman" w:cs="Times New Roman"/>
          <w:sz w:val="24"/>
          <w:szCs w:val="24"/>
        </w:rPr>
        <w:t>T</w:t>
      </w:r>
      <w:r w:rsidR="00CF3EDA" w:rsidRPr="00BD7411">
        <w:rPr>
          <w:rFonts w:ascii="Times New Roman" w:hAnsi="Times New Roman" w:cs="Times New Roman"/>
          <w:sz w:val="24"/>
          <w:szCs w:val="24"/>
        </w:rPr>
        <w:t>hey are</w:t>
      </w:r>
      <w:r w:rsidR="00C62E5A" w:rsidRPr="00BD7411">
        <w:rPr>
          <w:rFonts w:ascii="Times New Roman" w:hAnsi="Times New Roman" w:cs="Times New Roman"/>
          <w:sz w:val="24"/>
          <w:szCs w:val="24"/>
        </w:rPr>
        <w:t xml:space="preserve"> also</w:t>
      </w:r>
      <w:r w:rsidRPr="00BD7411">
        <w:rPr>
          <w:rFonts w:ascii="Times New Roman" w:hAnsi="Times New Roman" w:cs="Times New Roman"/>
          <w:sz w:val="24"/>
          <w:szCs w:val="24"/>
        </w:rPr>
        <w:t xml:space="preserve"> much m</w:t>
      </w:r>
      <w:r w:rsidR="00CF3EDA" w:rsidRPr="00BD7411">
        <w:rPr>
          <w:rFonts w:ascii="Times New Roman" w:hAnsi="Times New Roman" w:cs="Times New Roman"/>
          <w:sz w:val="24"/>
          <w:szCs w:val="24"/>
        </w:rPr>
        <w:t>ore likely to be lone parents</w:t>
      </w:r>
      <w:r w:rsidR="005068A5" w:rsidRPr="00BD7411">
        <w:rPr>
          <w:rFonts w:ascii="Times New Roman" w:hAnsi="Times New Roman" w:cs="Times New Roman"/>
          <w:sz w:val="24"/>
          <w:szCs w:val="24"/>
        </w:rPr>
        <w:t>.</w:t>
      </w:r>
      <w:r w:rsidRPr="00BD7411">
        <w:rPr>
          <w:rFonts w:ascii="Times New Roman" w:hAnsi="Times New Roman" w:cs="Times New Roman"/>
          <w:sz w:val="24"/>
          <w:szCs w:val="24"/>
        </w:rPr>
        <w:t xml:space="preserve"> Data from the 2006 census reveals that 27.2% o</w:t>
      </w:r>
      <w:r w:rsidR="0042495E" w:rsidRPr="00BD7411">
        <w:rPr>
          <w:rFonts w:ascii="Times New Roman" w:hAnsi="Times New Roman" w:cs="Times New Roman"/>
          <w:sz w:val="24"/>
          <w:szCs w:val="24"/>
        </w:rPr>
        <w:t>f familie</w:t>
      </w:r>
      <w:r w:rsidR="005068A5" w:rsidRPr="00BD7411">
        <w:rPr>
          <w:rFonts w:ascii="Times New Roman" w:hAnsi="Times New Roman" w:cs="Times New Roman"/>
          <w:sz w:val="24"/>
          <w:szCs w:val="24"/>
        </w:rPr>
        <w:t>s of Registered Indian families</w:t>
      </w:r>
      <w:r w:rsidRPr="00BD7411">
        <w:rPr>
          <w:rFonts w:ascii="Times New Roman" w:hAnsi="Times New Roman" w:cs="Times New Roman"/>
          <w:sz w:val="24"/>
          <w:szCs w:val="24"/>
        </w:rPr>
        <w:t xml:space="preserve"> living on reserve and 22.5% of families of Registered Indian women living off reserve are lone parent families headed by women, compared to just 12</w:t>
      </w:r>
      <w:r w:rsidR="005068A5" w:rsidRPr="00BD7411">
        <w:rPr>
          <w:rFonts w:ascii="Times New Roman" w:hAnsi="Times New Roman" w:cs="Times New Roman"/>
          <w:sz w:val="24"/>
          <w:szCs w:val="24"/>
        </w:rPr>
        <w:t>.4% of non-Indigenous families.</w:t>
      </w:r>
      <w:r w:rsidR="00C34976" w:rsidRPr="00BD7411">
        <w:rPr>
          <w:rFonts w:ascii="Times New Roman" w:hAnsi="Times New Roman" w:cs="Times New Roman"/>
          <w:sz w:val="24"/>
          <w:szCs w:val="24"/>
        </w:rPr>
        <w:t xml:space="preserve"> There are </w:t>
      </w:r>
      <w:r w:rsidR="00531B2D" w:rsidRPr="00BD7411">
        <w:rPr>
          <w:rFonts w:ascii="Times New Roman" w:hAnsi="Times New Roman" w:cs="Times New Roman"/>
          <w:sz w:val="24"/>
          <w:szCs w:val="24"/>
        </w:rPr>
        <w:t xml:space="preserve">between </w:t>
      </w:r>
      <w:r w:rsidR="00C34976" w:rsidRPr="00BD7411">
        <w:rPr>
          <w:rFonts w:ascii="Times New Roman" w:hAnsi="Times New Roman" w:cs="Times New Roman"/>
          <w:sz w:val="24"/>
          <w:szCs w:val="24"/>
        </w:rPr>
        <w:t>three</w:t>
      </w:r>
      <w:r w:rsidR="00531B2D" w:rsidRPr="00BD7411">
        <w:rPr>
          <w:rFonts w:ascii="Times New Roman" w:hAnsi="Times New Roman" w:cs="Times New Roman"/>
          <w:sz w:val="24"/>
          <w:szCs w:val="24"/>
        </w:rPr>
        <w:t xml:space="preserve"> and five</w:t>
      </w:r>
      <w:r w:rsidRPr="00BD7411">
        <w:rPr>
          <w:rFonts w:ascii="Times New Roman" w:hAnsi="Times New Roman" w:cs="Times New Roman"/>
          <w:sz w:val="24"/>
          <w:szCs w:val="24"/>
        </w:rPr>
        <w:t xml:space="preserve"> times as many lone parent families headed by Registered Indian women as </w:t>
      </w:r>
      <w:r w:rsidR="008F7AC3" w:rsidRPr="00BD7411">
        <w:rPr>
          <w:rFonts w:ascii="Times New Roman" w:hAnsi="Times New Roman" w:cs="Times New Roman"/>
          <w:sz w:val="24"/>
          <w:szCs w:val="24"/>
        </w:rPr>
        <w:t xml:space="preserve">by </w:t>
      </w:r>
      <w:r w:rsidRPr="00BD7411">
        <w:rPr>
          <w:rFonts w:ascii="Times New Roman" w:hAnsi="Times New Roman" w:cs="Times New Roman"/>
          <w:sz w:val="24"/>
          <w:szCs w:val="24"/>
        </w:rPr>
        <w:t>Registered Indian men.</w:t>
      </w:r>
      <w:r w:rsidRPr="00DB384A">
        <w:rPr>
          <w:rStyle w:val="FootnoteReference"/>
          <w:rFonts w:ascii="Times New Roman" w:hAnsi="Times New Roman" w:cs="Times New Roman"/>
          <w:sz w:val="24"/>
          <w:szCs w:val="24"/>
        </w:rPr>
        <w:footnoteReference w:id="47"/>
      </w:r>
      <w:r w:rsidRPr="00BD7411">
        <w:rPr>
          <w:rFonts w:ascii="Times New Roman" w:hAnsi="Times New Roman" w:cs="Times New Roman"/>
          <w:sz w:val="24"/>
          <w:szCs w:val="24"/>
        </w:rPr>
        <w:t xml:space="preserve"> </w:t>
      </w:r>
      <w:r w:rsidR="0042495E" w:rsidRPr="00BD7411">
        <w:rPr>
          <w:rFonts w:ascii="Times New Roman" w:hAnsi="Times New Roman" w:cs="Times New Roman"/>
          <w:sz w:val="24"/>
          <w:szCs w:val="24"/>
        </w:rPr>
        <w:t xml:space="preserve">In addition, </w:t>
      </w:r>
      <w:r w:rsidRPr="00BD7411">
        <w:rPr>
          <w:rFonts w:ascii="Times New Roman" w:hAnsi="Times New Roman" w:cs="Times New Roman"/>
          <w:sz w:val="24"/>
          <w:szCs w:val="24"/>
        </w:rPr>
        <w:t>lone parent families head</w:t>
      </w:r>
      <w:r w:rsidR="00C34976" w:rsidRPr="00BD7411">
        <w:rPr>
          <w:rFonts w:ascii="Times New Roman" w:hAnsi="Times New Roman" w:cs="Times New Roman"/>
          <w:sz w:val="24"/>
          <w:szCs w:val="24"/>
        </w:rPr>
        <w:t>ed by First Nations women tend</w:t>
      </w:r>
      <w:r w:rsidRPr="00BD7411">
        <w:rPr>
          <w:rFonts w:ascii="Times New Roman" w:hAnsi="Times New Roman" w:cs="Times New Roman"/>
          <w:sz w:val="24"/>
          <w:szCs w:val="24"/>
        </w:rPr>
        <w:t xml:space="preserve"> be larger than </w:t>
      </w:r>
      <w:r w:rsidR="00C62E5A" w:rsidRPr="00BD7411">
        <w:rPr>
          <w:rFonts w:ascii="Times New Roman" w:hAnsi="Times New Roman" w:cs="Times New Roman"/>
          <w:sz w:val="24"/>
          <w:szCs w:val="24"/>
        </w:rPr>
        <w:t>lone parent families headed by</w:t>
      </w:r>
      <w:r w:rsidRPr="00BD7411">
        <w:rPr>
          <w:rFonts w:ascii="Times New Roman" w:hAnsi="Times New Roman" w:cs="Times New Roman"/>
          <w:sz w:val="24"/>
          <w:szCs w:val="24"/>
        </w:rPr>
        <w:t xml:space="preserve"> non-Indigenous women.</w:t>
      </w:r>
      <w:r w:rsidRPr="00DB384A">
        <w:rPr>
          <w:rStyle w:val="FootnoteReference"/>
          <w:rFonts w:ascii="Times New Roman" w:hAnsi="Times New Roman" w:cs="Times New Roman"/>
          <w:sz w:val="24"/>
          <w:szCs w:val="24"/>
        </w:rPr>
        <w:footnoteReference w:id="48"/>
      </w:r>
      <w:r w:rsidRPr="00BD7411">
        <w:rPr>
          <w:rFonts w:ascii="Times New Roman" w:hAnsi="Times New Roman" w:cs="Times New Roman"/>
          <w:sz w:val="24"/>
          <w:szCs w:val="24"/>
        </w:rPr>
        <w:t xml:space="preserve">  </w:t>
      </w:r>
    </w:p>
    <w:p w:rsidR="00A74D9B" w:rsidRPr="00DB384A" w:rsidRDefault="008F7AC3" w:rsidP="00540E63">
      <w:pPr>
        <w:pStyle w:val="FactumBodyL1"/>
        <w:spacing w:after="0"/>
        <w:ind w:left="0" w:firstLine="0"/>
        <w:rPr>
          <w:rFonts w:ascii="Times New Roman" w:hAnsi="Times New Roman" w:cs="Times New Roman"/>
          <w:sz w:val="24"/>
          <w:szCs w:val="24"/>
        </w:rPr>
      </w:pPr>
      <w:r w:rsidRPr="00DB384A">
        <w:rPr>
          <w:rFonts w:ascii="Times New Roman" w:hAnsi="Times New Roman" w:cs="Times New Roman"/>
          <w:sz w:val="24"/>
          <w:szCs w:val="24"/>
        </w:rPr>
        <w:t>Functionally, this means that Indigenous</w:t>
      </w:r>
      <w:r w:rsidR="001F1301" w:rsidRPr="00DB384A">
        <w:rPr>
          <w:rFonts w:ascii="Times New Roman" w:hAnsi="Times New Roman" w:cs="Times New Roman"/>
          <w:sz w:val="24"/>
          <w:szCs w:val="24"/>
        </w:rPr>
        <w:t xml:space="preserve"> women, and particularly Registered Indian</w:t>
      </w:r>
      <w:r w:rsidRPr="00DB384A">
        <w:rPr>
          <w:rFonts w:ascii="Times New Roman" w:hAnsi="Times New Roman" w:cs="Times New Roman"/>
          <w:sz w:val="24"/>
          <w:szCs w:val="24"/>
        </w:rPr>
        <w:t xml:space="preserve"> women</w:t>
      </w:r>
      <w:r w:rsidR="001F1301" w:rsidRPr="00DB384A">
        <w:rPr>
          <w:rFonts w:ascii="Times New Roman" w:hAnsi="Times New Roman" w:cs="Times New Roman"/>
          <w:sz w:val="24"/>
          <w:szCs w:val="24"/>
        </w:rPr>
        <w:t>,</w:t>
      </w:r>
      <w:r w:rsidRPr="00DB384A">
        <w:rPr>
          <w:rFonts w:ascii="Times New Roman" w:hAnsi="Times New Roman" w:cs="Times New Roman"/>
          <w:sz w:val="24"/>
          <w:szCs w:val="24"/>
        </w:rPr>
        <w:t xml:space="preserve"> are more likely </w:t>
      </w:r>
      <w:proofErr w:type="gramStart"/>
      <w:r w:rsidRPr="00DB384A">
        <w:rPr>
          <w:rFonts w:ascii="Times New Roman" w:hAnsi="Times New Roman" w:cs="Times New Roman"/>
          <w:sz w:val="24"/>
          <w:szCs w:val="24"/>
        </w:rPr>
        <w:t>than others</w:t>
      </w:r>
      <w:proofErr w:type="gramEnd"/>
      <w:r w:rsidRPr="00DB384A">
        <w:rPr>
          <w:rFonts w:ascii="Times New Roman" w:hAnsi="Times New Roman" w:cs="Times New Roman"/>
          <w:sz w:val="24"/>
          <w:szCs w:val="24"/>
        </w:rPr>
        <w:t xml:space="preserve"> to be in the precarious </w:t>
      </w:r>
      <w:r w:rsidR="00BB26A9" w:rsidRPr="00DB384A">
        <w:rPr>
          <w:rFonts w:ascii="Times New Roman" w:hAnsi="Times New Roman" w:cs="Times New Roman"/>
          <w:sz w:val="24"/>
          <w:szCs w:val="24"/>
        </w:rPr>
        <w:t>position</w:t>
      </w:r>
      <w:r w:rsidRPr="00DB384A">
        <w:rPr>
          <w:rFonts w:ascii="Times New Roman" w:hAnsi="Times New Roman" w:cs="Times New Roman"/>
          <w:sz w:val="24"/>
          <w:szCs w:val="24"/>
        </w:rPr>
        <w:t xml:space="preserve"> of raising children alone and in poverty</w:t>
      </w:r>
      <w:r w:rsidR="00C26C79" w:rsidRPr="00DB384A">
        <w:rPr>
          <w:rFonts w:ascii="Times New Roman" w:hAnsi="Times New Roman" w:cs="Times New Roman"/>
          <w:sz w:val="24"/>
          <w:szCs w:val="24"/>
        </w:rPr>
        <w:t>.</w:t>
      </w:r>
      <w:r w:rsidR="00C62E5A" w:rsidRPr="00DB384A">
        <w:rPr>
          <w:rFonts w:ascii="Times New Roman" w:hAnsi="Times New Roman" w:cs="Times New Roman"/>
          <w:sz w:val="24"/>
          <w:szCs w:val="24"/>
        </w:rPr>
        <w:t xml:space="preserve"> Their families are likely to include</w:t>
      </w:r>
      <w:r w:rsidR="0042495E" w:rsidRPr="00DB384A">
        <w:rPr>
          <w:rFonts w:ascii="Times New Roman" w:hAnsi="Times New Roman" w:cs="Times New Roman"/>
          <w:sz w:val="24"/>
          <w:szCs w:val="24"/>
        </w:rPr>
        <w:t xml:space="preserve"> more children and</w:t>
      </w:r>
      <w:r w:rsidR="00C62E5A" w:rsidRPr="00DB384A">
        <w:rPr>
          <w:rFonts w:ascii="Times New Roman" w:hAnsi="Times New Roman" w:cs="Times New Roman"/>
          <w:sz w:val="24"/>
          <w:szCs w:val="24"/>
        </w:rPr>
        <w:t xml:space="preserve"> have</w:t>
      </w:r>
      <w:r w:rsidR="0042495E" w:rsidRPr="00DB384A">
        <w:rPr>
          <w:rFonts w:ascii="Times New Roman" w:hAnsi="Times New Roman" w:cs="Times New Roman"/>
          <w:sz w:val="24"/>
          <w:szCs w:val="24"/>
        </w:rPr>
        <w:t xml:space="preserve"> fewer resources.</w:t>
      </w:r>
      <w:r w:rsidRPr="00DB384A">
        <w:rPr>
          <w:rFonts w:ascii="Times New Roman" w:hAnsi="Times New Roman" w:cs="Times New Roman"/>
          <w:sz w:val="24"/>
          <w:szCs w:val="24"/>
        </w:rPr>
        <w:t xml:space="preserve"> </w:t>
      </w:r>
      <w:r w:rsidR="00B746B4" w:rsidRPr="00DB384A">
        <w:rPr>
          <w:rFonts w:ascii="Times New Roman" w:hAnsi="Times New Roman" w:cs="Times New Roman"/>
          <w:sz w:val="24"/>
          <w:szCs w:val="24"/>
        </w:rPr>
        <w:t xml:space="preserve">Given the </w:t>
      </w:r>
      <w:r w:rsidR="00504BB4" w:rsidRPr="00DB384A">
        <w:rPr>
          <w:rFonts w:ascii="Times New Roman" w:hAnsi="Times New Roman" w:cs="Times New Roman"/>
          <w:sz w:val="24"/>
          <w:szCs w:val="24"/>
        </w:rPr>
        <w:t>significant material</w:t>
      </w:r>
      <w:r w:rsidR="00B746B4" w:rsidRPr="00DB384A">
        <w:rPr>
          <w:rFonts w:ascii="Times New Roman" w:hAnsi="Times New Roman" w:cs="Times New Roman"/>
          <w:sz w:val="24"/>
          <w:szCs w:val="24"/>
        </w:rPr>
        <w:t xml:space="preserve"> benefit</w:t>
      </w:r>
      <w:r w:rsidR="00816926" w:rsidRPr="00DB384A">
        <w:rPr>
          <w:rFonts w:ascii="Times New Roman" w:hAnsi="Times New Roman" w:cs="Times New Roman"/>
          <w:sz w:val="24"/>
          <w:szCs w:val="24"/>
        </w:rPr>
        <w:t>s associated with Indian status,</w:t>
      </w:r>
      <w:r w:rsidR="00B746B4" w:rsidRPr="00DB384A">
        <w:rPr>
          <w:rFonts w:ascii="Times New Roman" w:hAnsi="Times New Roman" w:cs="Times New Roman"/>
          <w:sz w:val="24"/>
          <w:szCs w:val="24"/>
        </w:rPr>
        <w:t xml:space="preserve"> to make it difficult or impossible for</w:t>
      </w:r>
      <w:r w:rsidR="00504BB4" w:rsidRPr="00DB384A">
        <w:rPr>
          <w:rFonts w:ascii="Times New Roman" w:hAnsi="Times New Roman" w:cs="Times New Roman"/>
          <w:sz w:val="24"/>
          <w:szCs w:val="24"/>
        </w:rPr>
        <w:t xml:space="preserve"> </w:t>
      </w:r>
      <w:r w:rsidR="00B746B4" w:rsidRPr="00DB384A">
        <w:rPr>
          <w:rFonts w:ascii="Times New Roman" w:hAnsi="Times New Roman" w:cs="Times New Roman"/>
          <w:sz w:val="24"/>
          <w:szCs w:val="24"/>
        </w:rPr>
        <w:t xml:space="preserve">Indigenous women </w:t>
      </w:r>
      <w:r w:rsidR="00504BB4" w:rsidRPr="00DB384A">
        <w:rPr>
          <w:rFonts w:ascii="Times New Roman" w:hAnsi="Times New Roman" w:cs="Times New Roman"/>
          <w:sz w:val="24"/>
          <w:szCs w:val="24"/>
        </w:rPr>
        <w:t xml:space="preserve">who </w:t>
      </w:r>
      <w:r w:rsidR="00C01FED">
        <w:rPr>
          <w:rFonts w:ascii="Times New Roman" w:hAnsi="Times New Roman" w:cs="Times New Roman"/>
          <w:sz w:val="24"/>
          <w:szCs w:val="24"/>
        </w:rPr>
        <w:t xml:space="preserve">are unable or effectively unable to </w:t>
      </w:r>
      <w:r w:rsidR="003279FE" w:rsidRPr="00DB384A">
        <w:rPr>
          <w:rFonts w:ascii="Times New Roman" w:hAnsi="Times New Roman" w:cs="Times New Roman"/>
          <w:sz w:val="24"/>
          <w:szCs w:val="24"/>
        </w:rPr>
        <w:t>identify the father</w:t>
      </w:r>
      <w:r w:rsidR="00504BB4" w:rsidRPr="00DB384A">
        <w:rPr>
          <w:rFonts w:ascii="Times New Roman" w:hAnsi="Times New Roman" w:cs="Times New Roman"/>
          <w:sz w:val="24"/>
          <w:szCs w:val="24"/>
        </w:rPr>
        <w:t xml:space="preserve"> of their children</w:t>
      </w:r>
      <w:r w:rsidR="003279FE" w:rsidRPr="00DB384A">
        <w:rPr>
          <w:rFonts w:ascii="Times New Roman" w:hAnsi="Times New Roman" w:cs="Times New Roman"/>
          <w:sz w:val="24"/>
          <w:szCs w:val="24"/>
        </w:rPr>
        <w:t xml:space="preserve"> to register those</w:t>
      </w:r>
      <w:r w:rsidR="00F13E09" w:rsidRPr="00DB384A">
        <w:rPr>
          <w:rFonts w:ascii="Times New Roman" w:hAnsi="Times New Roman" w:cs="Times New Roman"/>
          <w:sz w:val="24"/>
          <w:szCs w:val="24"/>
        </w:rPr>
        <w:t xml:space="preserve"> children</w:t>
      </w:r>
      <w:r w:rsidR="00504BB4" w:rsidRPr="00DB384A">
        <w:rPr>
          <w:rFonts w:ascii="Times New Roman" w:hAnsi="Times New Roman" w:cs="Times New Roman"/>
          <w:sz w:val="24"/>
          <w:szCs w:val="24"/>
        </w:rPr>
        <w:t xml:space="preserve"> exacerbates their ec</w:t>
      </w:r>
      <w:r w:rsidR="00816926" w:rsidRPr="00DB384A">
        <w:rPr>
          <w:rFonts w:ascii="Times New Roman" w:hAnsi="Times New Roman" w:cs="Times New Roman"/>
          <w:sz w:val="24"/>
          <w:szCs w:val="24"/>
        </w:rPr>
        <w:t xml:space="preserve">onomic and social disadvantage. </w:t>
      </w:r>
      <w:r w:rsidR="00453CF6" w:rsidRPr="00DB384A">
        <w:rPr>
          <w:rFonts w:ascii="Times New Roman" w:hAnsi="Times New Roman" w:cs="Times New Roman"/>
          <w:sz w:val="24"/>
          <w:szCs w:val="24"/>
        </w:rPr>
        <w:t xml:space="preserve">It also contributes to a sense of cultural isolation and exclusion for lone parent families headed by </w:t>
      </w:r>
      <w:r w:rsidR="00EB00EB">
        <w:rPr>
          <w:rFonts w:ascii="Times New Roman" w:hAnsi="Times New Roman" w:cs="Times New Roman"/>
          <w:sz w:val="24"/>
          <w:szCs w:val="24"/>
        </w:rPr>
        <w:t xml:space="preserve">Registered Indian </w:t>
      </w:r>
      <w:r w:rsidR="00453CF6" w:rsidRPr="00DB384A">
        <w:rPr>
          <w:rFonts w:ascii="Times New Roman" w:hAnsi="Times New Roman" w:cs="Times New Roman"/>
          <w:sz w:val="24"/>
          <w:szCs w:val="24"/>
        </w:rPr>
        <w:t>women</w:t>
      </w:r>
      <w:r w:rsidR="00F530A4" w:rsidRPr="00DB384A">
        <w:rPr>
          <w:rFonts w:ascii="Times New Roman" w:hAnsi="Times New Roman" w:cs="Times New Roman"/>
          <w:sz w:val="24"/>
          <w:szCs w:val="24"/>
        </w:rPr>
        <w:t xml:space="preserve"> because it sends the message that their families are s</w:t>
      </w:r>
      <w:r w:rsidR="00C50326" w:rsidRPr="00DB384A">
        <w:rPr>
          <w:rFonts w:ascii="Times New Roman" w:hAnsi="Times New Roman" w:cs="Times New Roman"/>
          <w:sz w:val="24"/>
          <w:szCs w:val="24"/>
        </w:rPr>
        <w:t xml:space="preserve">omehow </w:t>
      </w:r>
      <w:r w:rsidR="00B778CD" w:rsidRPr="00DB384A">
        <w:rPr>
          <w:rFonts w:ascii="Times New Roman" w:hAnsi="Times New Roman" w:cs="Times New Roman"/>
          <w:sz w:val="24"/>
          <w:szCs w:val="24"/>
        </w:rPr>
        <w:t>“</w:t>
      </w:r>
      <w:r w:rsidR="00C50326" w:rsidRPr="00DB384A">
        <w:rPr>
          <w:rFonts w:ascii="Times New Roman" w:hAnsi="Times New Roman" w:cs="Times New Roman"/>
          <w:sz w:val="24"/>
          <w:szCs w:val="24"/>
        </w:rPr>
        <w:t>less Indigenous</w:t>
      </w:r>
      <w:r w:rsidR="00B778CD" w:rsidRPr="00DB384A">
        <w:rPr>
          <w:rFonts w:ascii="Times New Roman" w:hAnsi="Times New Roman" w:cs="Times New Roman"/>
          <w:sz w:val="24"/>
          <w:szCs w:val="24"/>
        </w:rPr>
        <w:t>”</w:t>
      </w:r>
      <w:r w:rsidR="00C50326" w:rsidRPr="00DB384A">
        <w:rPr>
          <w:rFonts w:ascii="Times New Roman" w:hAnsi="Times New Roman" w:cs="Times New Roman"/>
          <w:sz w:val="24"/>
          <w:szCs w:val="24"/>
        </w:rPr>
        <w:t xml:space="preserve"> than </w:t>
      </w:r>
      <w:r w:rsidR="00F530A4" w:rsidRPr="00DB384A">
        <w:rPr>
          <w:rFonts w:ascii="Times New Roman" w:hAnsi="Times New Roman" w:cs="Times New Roman"/>
          <w:sz w:val="24"/>
          <w:szCs w:val="24"/>
        </w:rPr>
        <w:t>families</w:t>
      </w:r>
      <w:r w:rsidR="00065CE8">
        <w:rPr>
          <w:rFonts w:ascii="Times New Roman" w:hAnsi="Times New Roman" w:cs="Times New Roman"/>
          <w:sz w:val="24"/>
          <w:szCs w:val="24"/>
        </w:rPr>
        <w:t xml:space="preserve"> with two parents with Indian status</w:t>
      </w:r>
      <w:r w:rsidR="0039055B">
        <w:rPr>
          <w:rFonts w:ascii="Times New Roman" w:hAnsi="Times New Roman" w:cs="Times New Roman"/>
          <w:sz w:val="24"/>
          <w:szCs w:val="24"/>
        </w:rPr>
        <w:t>.</w:t>
      </w:r>
      <w:r w:rsidR="00453CF6" w:rsidRPr="00DB384A">
        <w:rPr>
          <w:rFonts w:ascii="Times New Roman" w:hAnsi="Times New Roman" w:cs="Times New Roman"/>
          <w:sz w:val="24"/>
          <w:szCs w:val="24"/>
        </w:rPr>
        <w:t xml:space="preserve"> As the British Columbia Supreme Court recognized in </w:t>
      </w:r>
      <w:r w:rsidR="00453CF6" w:rsidRPr="00DB384A">
        <w:rPr>
          <w:rFonts w:ascii="Times New Roman" w:hAnsi="Times New Roman" w:cs="Times New Roman"/>
          <w:i/>
          <w:sz w:val="24"/>
          <w:szCs w:val="24"/>
        </w:rPr>
        <w:t>McIvor</w:t>
      </w:r>
      <w:r w:rsidR="008D47BF">
        <w:rPr>
          <w:rFonts w:ascii="Times New Roman" w:hAnsi="Times New Roman" w:cs="Times New Roman"/>
          <w:sz w:val="24"/>
          <w:szCs w:val="24"/>
        </w:rPr>
        <w:t>:</w:t>
      </w:r>
    </w:p>
    <w:p w:rsidR="00453CF6" w:rsidRPr="00DB384A" w:rsidRDefault="00453CF6" w:rsidP="00067CA5">
      <w:pPr>
        <w:pStyle w:val="Block1"/>
        <w:spacing w:after="120" w:line="240" w:lineRule="auto"/>
        <w:jc w:val="both"/>
        <w:rPr>
          <w:sz w:val="24"/>
          <w:szCs w:val="24"/>
        </w:rPr>
      </w:pPr>
      <w:r w:rsidRPr="00DB384A">
        <w:rPr>
          <w:sz w:val="24"/>
          <w:szCs w:val="24"/>
        </w:rPr>
        <w:lastRenderedPageBreak/>
        <w:t>The concept of Indian has become and continues to be imbued with significance in relation to identity that extends far beyond entitlement to particular programs</w:t>
      </w:r>
      <w:r w:rsidR="00067CA5">
        <w:rPr>
          <w:sz w:val="24"/>
          <w:szCs w:val="24"/>
        </w:rPr>
        <w:t xml:space="preserve"> [</w:t>
      </w:r>
      <w:r w:rsidRPr="00DB384A">
        <w:rPr>
          <w:sz w:val="24"/>
          <w:szCs w:val="24"/>
        </w:rPr>
        <w:t>…</w:t>
      </w:r>
      <w:proofErr w:type="gramStart"/>
      <w:r w:rsidR="00067CA5">
        <w:rPr>
          <w:sz w:val="24"/>
          <w:szCs w:val="24"/>
        </w:rPr>
        <w:t>]</w:t>
      </w:r>
      <w:r w:rsidRPr="00DB384A">
        <w:rPr>
          <w:sz w:val="24"/>
          <w:szCs w:val="24"/>
        </w:rPr>
        <w:t>The</w:t>
      </w:r>
      <w:proofErr w:type="gramEnd"/>
      <w:r w:rsidRPr="00DB384A">
        <w:rPr>
          <w:sz w:val="24"/>
          <w:szCs w:val="24"/>
        </w:rPr>
        <w:t xml:space="preserve"> </w:t>
      </w:r>
      <w:r w:rsidRPr="00DB384A">
        <w:rPr>
          <w:i/>
          <w:sz w:val="24"/>
          <w:szCs w:val="24"/>
        </w:rPr>
        <w:t xml:space="preserve">Royal Commission Report </w:t>
      </w:r>
      <w:r w:rsidRPr="00DB384A">
        <w:rPr>
          <w:sz w:val="24"/>
          <w:szCs w:val="24"/>
        </w:rPr>
        <w:t>at c. 2, p.</w:t>
      </w:r>
      <w:r w:rsidR="002D63B9">
        <w:rPr>
          <w:sz w:val="24"/>
          <w:szCs w:val="24"/>
        </w:rPr>
        <w:t xml:space="preserve"> </w:t>
      </w:r>
      <w:r w:rsidRPr="00DB384A">
        <w:rPr>
          <w:sz w:val="24"/>
          <w:szCs w:val="24"/>
        </w:rPr>
        <w:t xml:space="preserve">23 stated that, “the </w:t>
      </w:r>
      <w:r w:rsidRPr="00DB384A">
        <w:rPr>
          <w:i/>
          <w:sz w:val="24"/>
          <w:szCs w:val="24"/>
        </w:rPr>
        <w:t>Indian Act</w:t>
      </w:r>
      <w:r w:rsidRPr="00DB384A">
        <w:rPr>
          <w:sz w:val="24"/>
          <w:szCs w:val="24"/>
        </w:rPr>
        <w:t xml:space="preserve"> has created a legal fiction as to cultural identity.” The reference to legal fiction is</w:t>
      </w:r>
      <w:r w:rsidR="00796287">
        <w:rPr>
          <w:sz w:val="24"/>
          <w:szCs w:val="24"/>
        </w:rPr>
        <w:t xml:space="preserve"> …</w:t>
      </w:r>
      <w:r w:rsidRPr="00DB384A">
        <w:rPr>
          <w:sz w:val="24"/>
          <w:szCs w:val="24"/>
        </w:rPr>
        <w:t xml:space="preserve"> an apt reminder of the fact that the concept did not emanate from the Aboriginal</w:t>
      </w:r>
      <w:r w:rsidR="0098776D" w:rsidRPr="00DB384A">
        <w:rPr>
          <w:sz w:val="24"/>
          <w:szCs w:val="24"/>
        </w:rPr>
        <w:t xml:space="preserve"> people, but was an artificial construct created by the colonists and impo</w:t>
      </w:r>
      <w:r w:rsidR="00C26C79" w:rsidRPr="00DB384A">
        <w:rPr>
          <w:sz w:val="24"/>
          <w:szCs w:val="24"/>
        </w:rPr>
        <w:t xml:space="preserve">sed upon the </w:t>
      </w:r>
      <w:r w:rsidR="005636F8">
        <w:rPr>
          <w:sz w:val="24"/>
          <w:szCs w:val="24"/>
        </w:rPr>
        <w:t>A</w:t>
      </w:r>
      <w:r w:rsidR="00C26C79" w:rsidRPr="00DB384A">
        <w:rPr>
          <w:sz w:val="24"/>
          <w:szCs w:val="24"/>
        </w:rPr>
        <w:t>boriginal people.</w:t>
      </w:r>
      <w:r w:rsidR="0098776D" w:rsidRPr="00DB384A">
        <w:rPr>
          <w:sz w:val="24"/>
          <w:szCs w:val="24"/>
        </w:rPr>
        <w:t xml:space="preserve"> However, the description of the concept as a fiction </w:t>
      </w:r>
      <w:proofErr w:type="gramStart"/>
      <w:r w:rsidR="0098776D" w:rsidRPr="00DB384A">
        <w:rPr>
          <w:sz w:val="24"/>
          <w:szCs w:val="24"/>
        </w:rPr>
        <w:t>should not be taken</w:t>
      </w:r>
      <w:proofErr w:type="gramEnd"/>
      <w:r w:rsidR="0098776D" w:rsidRPr="00DB384A">
        <w:rPr>
          <w:sz w:val="24"/>
          <w:szCs w:val="24"/>
        </w:rPr>
        <w:t xml:space="preserve"> to suggest that the concept lacks meaning or substance</w:t>
      </w:r>
      <w:r w:rsidR="005636F8">
        <w:rPr>
          <w:sz w:val="24"/>
          <w:szCs w:val="24"/>
        </w:rPr>
        <w:t xml:space="preserve">. On the </w:t>
      </w:r>
      <w:proofErr w:type="gramStart"/>
      <w:r w:rsidR="005636F8">
        <w:rPr>
          <w:sz w:val="24"/>
          <w:szCs w:val="24"/>
        </w:rPr>
        <w:t>contrary</w:t>
      </w:r>
      <w:proofErr w:type="gramEnd"/>
      <w:r w:rsidR="0098776D" w:rsidRPr="00DB384A">
        <w:rPr>
          <w:sz w:val="24"/>
          <w:szCs w:val="24"/>
        </w:rPr>
        <w:t>… this legal fiction has become an important aspect of cultural identity.</w:t>
      </w:r>
      <w:r w:rsidR="0098776D" w:rsidRPr="00DB384A">
        <w:rPr>
          <w:rStyle w:val="FootnoteReference"/>
          <w:rFonts w:ascii="Times New Roman" w:hAnsi="Times New Roman" w:cs="Times New Roman"/>
          <w:sz w:val="24"/>
          <w:szCs w:val="24"/>
        </w:rPr>
        <w:footnoteReference w:id="49"/>
      </w:r>
    </w:p>
    <w:p w:rsidR="008A67A7" w:rsidRPr="00DB384A" w:rsidRDefault="008A67A7"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w:t>
      </w:r>
      <w:r w:rsidR="006E2510" w:rsidRPr="00DB384A">
        <w:rPr>
          <w:rFonts w:ascii="Times New Roman" w:hAnsi="Times New Roman" w:cs="Times New Roman"/>
          <w:sz w:val="24"/>
          <w:szCs w:val="24"/>
        </w:rPr>
        <w:t>disadvant</w:t>
      </w:r>
      <w:r w:rsidR="002B56E0" w:rsidRPr="00DB384A">
        <w:rPr>
          <w:rFonts w:ascii="Times New Roman" w:hAnsi="Times New Roman" w:cs="Times New Roman"/>
          <w:sz w:val="24"/>
          <w:szCs w:val="24"/>
        </w:rPr>
        <w:t>aged position of</w:t>
      </w:r>
      <w:r w:rsidRPr="00DB384A">
        <w:rPr>
          <w:rFonts w:ascii="Times New Roman" w:hAnsi="Times New Roman" w:cs="Times New Roman"/>
          <w:sz w:val="24"/>
          <w:szCs w:val="24"/>
        </w:rPr>
        <w:t xml:space="preserve"> </w:t>
      </w:r>
      <w:r w:rsidR="005F2BBB" w:rsidRPr="00DB384A">
        <w:rPr>
          <w:rFonts w:ascii="Times New Roman" w:hAnsi="Times New Roman" w:cs="Times New Roman"/>
          <w:sz w:val="24"/>
          <w:szCs w:val="24"/>
        </w:rPr>
        <w:t>Indigenous</w:t>
      </w:r>
      <w:r w:rsidRPr="00DB384A">
        <w:rPr>
          <w:rFonts w:ascii="Times New Roman" w:hAnsi="Times New Roman" w:cs="Times New Roman"/>
          <w:sz w:val="24"/>
          <w:szCs w:val="24"/>
        </w:rPr>
        <w:t xml:space="preserve"> women in Canadian society is the result of complex social </w:t>
      </w:r>
      <w:r w:rsidR="000F38E6" w:rsidRPr="00DB384A">
        <w:rPr>
          <w:rFonts w:ascii="Times New Roman" w:hAnsi="Times New Roman" w:cs="Times New Roman"/>
          <w:sz w:val="24"/>
          <w:szCs w:val="24"/>
        </w:rPr>
        <w:t xml:space="preserve">and legislative </w:t>
      </w:r>
      <w:r w:rsidRPr="00DB384A">
        <w:rPr>
          <w:rFonts w:ascii="Times New Roman" w:hAnsi="Times New Roman" w:cs="Times New Roman"/>
          <w:sz w:val="24"/>
          <w:szCs w:val="24"/>
        </w:rPr>
        <w:t xml:space="preserve">forces tied to colonization, racism and misogyny, </w:t>
      </w:r>
      <w:r w:rsidR="00522496" w:rsidRPr="00DB384A">
        <w:rPr>
          <w:rFonts w:ascii="Times New Roman" w:hAnsi="Times New Roman" w:cs="Times New Roman"/>
          <w:sz w:val="24"/>
          <w:szCs w:val="24"/>
        </w:rPr>
        <w:t xml:space="preserve">including </w:t>
      </w:r>
      <w:r w:rsidRPr="00DB384A">
        <w:rPr>
          <w:rFonts w:ascii="Times New Roman" w:hAnsi="Times New Roman" w:cs="Times New Roman"/>
          <w:sz w:val="24"/>
          <w:szCs w:val="24"/>
        </w:rPr>
        <w:t xml:space="preserve">the </w:t>
      </w:r>
      <w:r w:rsidRPr="00DB384A">
        <w:rPr>
          <w:rFonts w:ascii="Times New Roman" w:hAnsi="Times New Roman" w:cs="Times New Roman"/>
          <w:i/>
          <w:sz w:val="24"/>
          <w:szCs w:val="24"/>
        </w:rPr>
        <w:t>Indian Act</w:t>
      </w:r>
      <w:r w:rsidRPr="00DB384A">
        <w:rPr>
          <w:rFonts w:ascii="Times New Roman" w:hAnsi="Times New Roman" w:cs="Times New Roman"/>
          <w:sz w:val="24"/>
          <w:szCs w:val="24"/>
        </w:rPr>
        <w:t xml:space="preserve"> </w:t>
      </w:r>
      <w:r w:rsidR="00522496" w:rsidRPr="00DB384A">
        <w:rPr>
          <w:rFonts w:ascii="Times New Roman" w:hAnsi="Times New Roman" w:cs="Times New Roman"/>
          <w:sz w:val="24"/>
          <w:szCs w:val="24"/>
        </w:rPr>
        <w:t>itself</w:t>
      </w:r>
      <w:r w:rsidR="005D507F" w:rsidRPr="00DB384A">
        <w:rPr>
          <w:rFonts w:ascii="Times New Roman" w:hAnsi="Times New Roman" w:cs="Times New Roman"/>
          <w:sz w:val="24"/>
          <w:szCs w:val="24"/>
        </w:rPr>
        <w:t xml:space="preserve">. </w:t>
      </w:r>
      <w:r w:rsidR="00673B42" w:rsidRPr="00DB384A">
        <w:rPr>
          <w:rFonts w:ascii="Times New Roman" w:hAnsi="Times New Roman" w:cs="Times New Roman"/>
          <w:sz w:val="24"/>
          <w:szCs w:val="24"/>
        </w:rPr>
        <w:t>A</w:t>
      </w:r>
      <w:r w:rsidRPr="00DB384A">
        <w:rPr>
          <w:rFonts w:ascii="Times New Roman" w:hAnsi="Times New Roman" w:cs="Times New Roman"/>
          <w:sz w:val="24"/>
          <w:szCs w:val="24"/>
        </w:rPr>
        <w:t xml:space="preserve"> number of </w:t>
      </w:r>
      <w:r w:rsidR="00AB6646">
        <w:rPr>
          <w:rFonts w:ascii="Times New Roman" w:hAnsi="Times New Roman" w:cs="Times New Roman"/>
          <w:sz w:val="24"/>
          <w:szCs w:val="24"/>
        </w:rPr>
        <w:t>decisions</w:t>
      </w:r>
      <w:r w:rsidR="00E76642">
        <w:rPr>
          <w:rFonts w:ascii="Times New Roman" w:hAnsi="Times New Roman" w:cs="Times New Roman"/>
          <w:sz w:val="24"/>
          <w:szCs w:val="24"/>
        </w:rPr>
        <w:t xml:space="preserve"> have recognized that the</w:t>
      </w:r>
      <w:r w:rsidRPr="00DB384A">
        <w:rPr>
          <w:rFonts w:ascii="Times New Roman" w:hAnsi="Times New Roman" w:cs="Times New Roman"/>
          <w:sz w:val="24"/>
          <w:szCs w:val="24"/>
        </w:rPr>
        <w:t xml:space="preserve"> registration provisions set out in prior versions of the </w:t>
      </w:r>
      <w:r w:rsidRPr="00DB384A">
        <w:rPr>
          <w:rFonts w:ascii="Times New Roman" w:hAnsi="Times New Roman" w:cs="Times New Roman"/>
          <w:i/>
          <w:sz w:val="24"/>
          <w:szCs w:val="24"/>
        </w:rPr>
        <w:t>Indian Act</w:t>
      </w:r>
      <w:r w:rsidRPr="00DB384A">
        <w:rPr>
          <w:rFonts w:ascii="Times New Roman" w:hAnsi="Times New Roman" w:cs="Times New Roman"/>
          <w:sz w:val="24"/>
          <w:szCs w:val="24"/>
        </w:rPr>
        <w:t xml:space="preserve"> amount</w:t>
      </w:r>
      <w:r w:rsidR="001F1301" w:rsidRPr="00DB384A">
        <w:rPr>
          <w:rFonts w:ascii="Times New Roman" w:hAnsi="Times New Roman" w:cs="Times New Roman"/>
          <w:sz w:val="24"/>
          <w:szCs w:val="24"/>
        </w:rPr>
        <w:t>ed</w:t>
      </w:r>
      <w:r w:rsidRPr="00DB384A">
        <w:rPr>
          <w:rFonts w:ascii="Times New Roman" w:hAnsi="Times New Roman" w:cs="Times New Roman"/>
          <w:sz w:val="24"/>
          <w:szCs w:val="24"/>
        </w:rPr>
        <w:t xml:space="preserve"> to </w:t>
      </w:r>
      <w:r w:rsidR="008B4210" w:rsidRPr="00DB384A">
        <w:rPr>
          <w:rFonts w:ascii="Times New Roman" w:hAnsi="Times New Roman" w:cs="Times New Roman"/>
          <w:sz w:val="24"/>
          <w:szCs w:val="24"/>
        </w:rPr>
        <w:t>an attempt</w:t>
      </w:r>
      <w:r w:rsidRPr="00DB384A">
        <w:rPr>
          <w:rFonts w:ascii="Times New Roman" w:hAnsi="Times New Roman" w:cs="Times New Roman"/>
          <w:sz w:val="24"/>
          <w:szCs w:val="24"/>
        </w:rPr>
        <w:t xml:space="preserve"> by</w:t>
      </w:r>
      <w:r w:rsidR="008B4210" w:rsidRPr="00DB384A">
        <w:rPr>
          <w:rFonts w:ascii="Times New Roman" w:hAnsi="Times New Roman" w:cs="Times New Roman"/>
          <w:sz w:val="24"/>
          <w:szCs w:val="24"/>
        </w:rPr>
        <w:t xml:space="preserve"> </w:t>
      </w:r>
      <w:r w:rsidRPr="00DB384A">
        <w:rPr>
          <w:rFonts w:ascii="Times New Roman" w:hAnsi="Times New Roman" w:cs="Times New Roman"/>
          <w:sz w:val="24"/>
          <w:szCs w:val="24"/>
        </w:rPr>
        <w:t xml:space="preserve">the </w:t>
      </w:r>
      <w:r w:rsidR="005636F8" w:rsidRPr="00DB384A">
        <w:rPr>
          <w:rFonts w:ascii="Times New Roman" w:hAnsi="Times New Roman" w:cs="Times New Roman"/>
          <w:sz w:val="24"/>
          <w:szCs w:val="24"/>
        </w:rPr>
        <w:t xml:space="preserve">Canadian </w:t>
      </w:r>
      <w:r w:rsidRPr="00DB384A">
        <w:rPr>
          <w:rFonts w:ascii="Times New Roman" w:hAnsi="Times New Roman" w:cs="Times New Roman"/>
          <w:sz w:val="24"/>
          <w:szCs w:val="24"/>
        </w:rPr>
        <w:t xml:space="preserve">state to impose patriarchal structures </w:t>
      </w:r>
      <w:r w:rsidR="00065CE8">
        <w:rPr>
          <w:rFonts w:ascii="Times New Roman" w:hAnsi="Times New Roman" w:cs="Times New Roman"/>
          <w:sz w:val="24"/>
          <w:szCs w:val="24"/>
        </w:rPr>
        <w:t xml:space="preserve">on </w:t>
      </w:r>
      <w:r w:rsidRPr="00DB384A">
        <w:rPr>
          <w:rFonts w:ascii="Times New Roman" w:hAnsi="Times New Roman" w:cs="Times New Roman"/>
          <w:sz w:val="24"/>
          <w:szCs w:val="24"/>
        </w:rPr>
        <w:t xml:space="preserve">Indigenous </w:t>
      </w:r>
      <w:r w:rsidR="00065CE8">
        <w:rPr>
          <w:rFonts w:ascii="Times New Roman" w:hAnsi="Times New Roman" w:cs="Times New Roman"/>
          <w:sz w:val="24"/>
          <w:szCs w:val="24"/>
        </w:rPr>
        <w:t>societies</w:t>
      </w:r>
      <w:r w:rsidRPr="00DB384A">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50"/>
      </w:r>
      <w:r w:rsidRPr="00DB384A">
        <w:rPr>
          <w:rFonts w:ascii="Times New Roman" w:hAnsi="Times New Roman" w:cs="Times New Roman"/>
          <w:sz w:val="24"/>
          <w:szCs w:val="24"/>
        </w:rPr>
        <w:t xml:space="preserve"> Status rules that excluded Ind</w:t>
      </w:r>
      <w:r w:rsidR="000F38E6" w:rsidRPr="00DB384A">
        <w:rPr>
          <w:rFonts w:ascii="Times New Roman" w:hAnsi="Times New Roman" w:cs="Times New Roman"/>
          <w:sz w:val="24"/>
          <w:szCs w:val="24"/>
        </w:rPr>
        <w:t>igenous</w:t>
      </w:r>
      <w:r w:rsidRPr="00DB384A">
        <w:rPr>
          <w:rFonts w:ascii="Times New Roman" w:hAnsi="Times New Roman" w:cs="Times New Roman"/>
          <w:sz w:val="24"/>
          <w:szCs w:val="24"/>
        </w:rPr>
        <w:t xml:space="preserve"> women who “married out” and their children from Indian status and the benefits of community life exposed them to poverty, d</w:t>
      </w:r>
      <w:r w:rsidR="00522496" w:rsidRPr="00DB384A">
        <w:rPr>
          <w:rFonts w:ascii="Times New Roman" w:hAnsi="Times New Roman" w:cs="Times New Roman"/>
          <w:sz w:val="24"/>
          <w:szCs w:val="24"/>
        </w:rPr>
        <w:t>islocation</w:t>
      </w:r>
      <w:r w:rsidR="00065CE8">
        <w:rPr>
          <w:rFonts w:ascii="Times New Roman" w:hAnsi="Times New Roman" w:cs="Times New Roman"/>
          <w:sz w:val="24"/>
          <w:szCs w:val="24"/>
        </w:rPr>
        <w:t>, political disenfranchisement</w:t>
      </w:r>
      <w:r w:rsidR="00522496" w:rsidRPr="00DB384A">
        <w:rPr>
          <w:rFonts w:ascii="Times New Roman" w:hAnsi="Times New Roman" w:cs="Times New Roman"/>
          <w:sz w:val="24"/>
          <w:szCs w:val="24"/>
        </w:rPr>
        <w:t xml:space="preserve"> and social exclusion</w:t>
      </w:r>
      <w:r w:rsidR="00BA7F82" w:rsidRPr="00DB384A">
        <w:rPr>
          <w:rFonts w:ascii="Times New Roman" w:hAnsi="Times New Roman" w:cs="Times New Roman"/>
          <w:sz w:val="24"/>
          <w:szCs w:val="24"/>
        </w:rPr>
        <w:t>.</w:t>
      </w:r>
      <w:r w:rsidR="005D507F" w:rsidRPr="00DB384A">
        <w:rPr>
          <w:rStyle w:val="FootnoteReference"/>
          <w:rFonts w:ascii="Times New Roman" w:hAnsi="Times New Roman" w:cs="Times New Roman"/>
          <w:sz w:val="24"/>
          <w:szCs w:val="24"/>
        </w:rPr>
        <w:footnoteReference w:id="51"/>
      </w:r>
      <w:r w:rsidRPr="00DB384A">
        <w:rPr>
          <w:rFonts w:ascii="Times New Roman" w:hAnsi="Times New Roman" w:cs="Times New Roman"/>
          <w:sz w:val="24"/>
          <w:szCs w:val="24"/>
        </w:rPr>
        <w:t xml:space="preserve">  </w:t>
      </w:r>
      <w:r w:rsidR="00693695" w:rsidRPr="00DB384A">
        <w:rPr>
          <w:rFonts w:ascii="Times New Roman" w:hAnsi="Times New Roman" w:cs="Times New Roman"/>
          <w:sz w:val="24"/>
          <w:szCs w:val="24"/>
        </w:rPr>
        <w:t xml:space="preserve"> </w:t>
      </w:r>
    </w:p>
    <w:p w:rsidR="00697436" w:rsidRPr="00DB384A" w:rsidRDefault="001F1301"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registration provisions of the 1985 </w:t>
      </w:r>
      <w:r w:rsidRPr="00DB384A">
        <w:rPr>
          <w:rFonts w:ascii="Times New Roman" w:hAnsi="Times New Roman" w:cs="Times New Roman"/>
          <w:i/>
          <w:sz w:val="24"/>
          <w:szCs w:val="24"/>
        </w:rPr>
        <w:t>Indian Act,</w:t>
      </w:r>
      <w:r w:rsidRPr="00DB384A">
        <w:rPr>
          <w:rFonts w:ascii="Times New Roman" w:hAnsi="Times New Roman" w:cs="Times New Roman"/>
          <w:sz w:val="24"/>
          <w:szCs w:val="24"/>
        </w:rPr>
        <w:t xml:space="preserve"> </w:t>
      </w:r>
      <w:r w:rsidR="00B72B37" w:rsidRPr="00DB384A">
        <w:rPr>
          <w:rFonts w:ascii="Times New Roman" w:hAnsi="Times New Roman" w:cs="Times New Roman"/>
          <w:sz w:val="24"/>
          <w:szCs w:val="24"/>
        </w:rPr>
        <w:t>as implemented by the</w:t>
      </w:r>
      <w:r w:rsidR="002B56E0" w:rsidRPr="00DB384A">
        <w:rPr>
          <w:rFonts w:ascii="Times New Roman" w:hAnsi="Times New Roman" w:cs="Times New Roman"/>
          <w:sz w:val="24"/>
          <w:szCs w:val="24"/>
        </w:rPr>
        <w:t xml:space="preserve"> Policy, exacerbate rather than dismantle this legacy by imposing a unique </w:t>
      </w:r>
      <w:r w:rsidR="009476CC" w:rsidRPr="00DB384A">
        <w:rPr>
          <w:rFonts w:ascii="Times New Roman" w:hAnsi="Times New Roman" w:cs="Times New Roman"/>
          <w:sz w:val="24"/>
          <w:szCs w:val="24"/>
        </w:rPr>
        <w:t xml:space="preserve">and disproportionate </w:t>
      </w:r>
      <w:r w:rsidR="002B56E0" w:rsidRPr="00DB384A">
        <w:rPr>
          <w:rFonts w:ascii="Times New Roman" w:hAnsi="Times New Roman" w:cs="Times New Roman"/>
          <w:sz w:val="24"/>
          <w:szCs w:val="24"/>
        </w:rPr>
        <w:t>burden on Registered Indian women seeking to register their children</w:t>
      </w:r>
      <w:r w:rsidR="001E336A" w:rsidRPr="00DB384A">
        <w:rPr>
          <w:rFonts w:ascii="Times New Roman" w:hAnsi="Times New Roman" w:cs="Times New Roman"/>
          <w:sz w:val="24"/>
          <w:szCs w:val="24"/>
        </w:rPr>
        <w:t>, expos</w:t>
      </w:r>
      <w:r w:rsidR="00C26C79" w:rsidRPr="00DB384A">
        <w:rPr>
          <w:rFonts w:ascii="Times New Roman" w:hAnsi="Times New Roman" w:cs="Times New Roman"/>
          <w:sz w:val="24"/>
          <w:szCs w:val="24"/>
        </w:rPr>
        <w:t xml:space="preserve">ing both </w:t>
      </w:r>
      <w:r w:rsidR="001E336A" w:rsidRPr="00DB384A">
        <w:rPr>
          <w:rFonts w:ascii="Times New Roman" w:hAnsi="Times New Roman" w:cs="Times New Roman"/>
          <w:sz w:val="24"/>
          <w:szCs w:val="24"/>
        </w:rPr>
        <w:t xml:space="preserve">Registered Indian </w:t>
      </w:r>
      <w:r w:rsidR="000A1B5E" w:rsidRPr="00DB384A">
        <w:rPr>
          <w:rFonts w:ascii="Times New Roman" w:hAnsi="Times New Roman" w:cs="Times New Roman"/>
          <w:sz w:val="24"/>
          <w:szCs w:val="24"/>
        </w:rPr>
        <w:t>mother</w:t>
      </w:r>
      <w:r w:rsidR="00C26C79" w:rsidRPr="00DB384A">
        <w:rPr>
          <w:rFonts w:ascii="Times New Roman" w:hAnsi="Times New Roman" w:cs="Times New Roman"/>
          <w:sz w:val="24"/>
          <w:szCs w:val="24"/>
        </w:rPr>
        <w:t>s</w:t>
      </w:r>
      <w:r w:rsidR="000A1B5E" w:rsidRPr="00DB384A">
        <w:rPr>
          <w:rFonts w:ascii="Times New Roman" w:hAnsi="Times New Roman" w:cs="Times New Roman"/>
          <w:sz w:val="24"/>
          <w:szCs w:val="24"/>
        </w:rPr>
        <w:t xml:space="preserve"> and </w:t>
      </w:r>
      <w:r w:rsidR="00C26C79" w:rsidRPr="00DB384A">
        <w:rPr>
          <w:rFonts w:ascii="Times New Roman" w:hAnsi="Times New Roman" w:cs="Times New Roman"/>
          <w:sz w:val="24"/>
          <w:szCs w:val="24"/>
        </w:rPr>
        <w:t xml:space="preserve">their </w:t>
      </w:r>
      <w:r w:rsidR="000A1B5E" w:rsidRPr="00DB384A">
        <w:rPr>
          <w:rFonts w:ascii="Times New Roman" w:hAnsi="Times New Roman" w:cs="Times New Roman"/>
          <w:sz w:val="24"/>
          <w:szCs w:val="24"/>
        </w:rPr>
        <w:t>children</w:t>
      </w:r>
      <w:r w:rsidR="00B72B37" w:rsidRPr="00DB384A">
        <w:rPr>
          <w:rFonts w:ascii="Times New Roman" w:hAnsi="Times New Roman" w:cs="Times New Roman"/>
          <w:sz w:val="24"/>
          <w:szCs w:val="24"/>
        </w:rPr>
        <w:t xml:space="preserve"> </w:t>
      </w:r>
      <w:r w:rsidR="000A1B5E" w:rsidRPr="00DB384A">
        <w:rPr>
          <w:rFonts w:ascii="Times New Roman" w:hAnsi="Times New Roman" w:cs="Times New Roman"/>
          <w:sz w:val="24"/>
          <w:szCs w:val="24"/>
        </w:rPr>
        <w:t>to additional disadvantage.</w:t>
      </w:r>
      <w:r w:rsidR="002B56E0" w:rsidRPr="00DB384A">
        <w:rPr>
          <w:rFonts w:ascii="Times New Roman" w:hAnsi="Times New Roman" w:cs="Times New Roman"/>
          <w:sz w:val="24"/>
          <w:szCs w:val="24"/>
        </w:rPr>
        <w:t xml:space="preserve"> </w:t>
      </w:r>
      <w:r w:rsidR="00C34976" w:rsidRPr="00DB384A">
        <w:rPr>
          <w:rFonts w:ascii="Times New Roman" w:hAnsi="Times New Roman" w:cs="Times New Roman"/>
          <w:sz w:val="24"/>
          <w:szCs w:val="24"/>
        </w:rPr>
        <w:t>Th</w:t>
      </w:r>
      <w:r w:rsidR="005068A5" w:rsidRPr="00DB384A">
        <w:rPr>
          <w:rFonts w:ascii="Times New Roman" w:hAnsi="Times New Roman" w:cs="Times New Roman"/>
          <w:sz w:val="24"/>
          <w:szCs w:val="24"/>
        </w:rPr>
        <w:t>is is</w:t>
      </w:r>
      <w:r w:rsidR="002F7C9A" w:rsidRPr="00DB384A">
        <w:rPr>
          <w:rFonts w:ascii="Times New Roman" w:hAnsi="Times New Roman" w:cs="Times New Roman"/>
          <w:sz w:val="24"/>
          <w:szCs w:val="24"/>
        </w:rPr>
        <w:t xml:space="preserve"> therefore</w:t>
      </w:r>
      <w:r w:rsidR="00BA7F82" w:rsidRPr="00DB384A">
        <w:rPr>
          <w:rFonts w:ascii="Times New Roman" w:hAnsi="Times New Roman" w:cs="Times New Roman"/>
          <w:sz w:val="24"/>
          <w:szCs w:val="24"/>
        </w:rPr>
        <w:t xml:space="preserve"> </w:t>
      </w:r>
      <w:r w:rsidR="008A67A7" w:rsidRPr="00DB384A">
        <w:rPr>
          <w:rFonts w:ascii="Times New Roman" w:hAnsi="Times New Roman" w:cs="Times New Roman"/>
          <w:sz w:val="24"/>
          <w:szCs w:val="24"/>
        </w:rPr>
        <w:t>a quintessential case where the impugned law and policy operate to “widen the gap” between a historically disadvantage</w:t>
      </w:r>
      <w:r w:rsidR="00235A47" w:rsidRPr="00DB384A">
        <w:rPr>
          <w:rFonts w:ascii="Times New Roman" w:hAnsi="Times New Roman" w:cs="Times New Roman"/>
          <w:sz w:val="24"/>
          <w:szCs w:val="24"/>
        </w:rPr>
        <w:t xml:space="preserve">d group and the </w:t>
      </w:r>
      <w:r w:rsidR="000436BE" w:rsidRPr="00DB384A">
        <w:rPr>
          <w:rFonts w:ascii="Times New Roman" w:hAnsi="Times New Roman" w:cs="Times New Roman"/>
          <w:sz w:val="24"/>
          <w:szCs w:val="24"/>
        </w:rPr>
        <w:t>rest of society, a gap that aros</w:t>
      </w:r>
      <w:r w:rsidR="003279FE" w:rsidRPr="00DB384A">
        <w:rPr>
          <w:rFonts w:ascii="Times New Roman" w:hAnsi="Times New Roman" w:cs="Times New Roman"/>
          <w:sz w:val="24"/>
          <w:szCs w:val="24"/>
        </w:rPr>
        <w:t xml:space="preserve">e </w:t>
      </w:r>
      <w:r w:rsidR="00235A47" w:rsidRPr="00DB384A">
        <w:rPr>
          <w:rFonts w:ascii="Times New Roman" w:hAnsi="Times New Roman" w:cs="Times New Roman"/>
          <w:sz w:val="24"/>
          <w:szCs w:val="24"/>
        </w:rPr>
        <w:t xml:space="preserve">in </w:t>
      </w:r>
      <w:r w:rsidR="000436BE" w:rsidRPr="00DB384A">
        <w:rPr>
          <w:rFonts w:ascii="Times New Roman" w:hAnsi="Times New Roman" w:cs="Times New Roman"/>
          <w:sz w:val="24"/>
          <w:szCs w:val="24"/>
        </w:rPr>
        <w:t xml:space="preserve">part </w:t>
      </w:r>
      <w:proofErr w:type="gramStart"/>
      <w:r w:rsidR="000436BE" w:rsidRPr="00DB384A">
        <w:rPr>
          <w:rFonts w:ascii="Times New Roman" w:hAnsi="Times New Roman" w:cs="Times New Roman"/>
          <w:sz w:val="24"/>
          <w:szCs w:val="24"/>
        </w:rPr>
        <w:t>as a result</w:t>
      </w:r>
      <w:proofErr w:type="gramEnd"/>
      <w:r w:rsidR="000436BE" w:rsidRPr="00DB384A">
        <w:rPr>
          <w:rFonts w:ascii="Times New Roman" w:hAnsi="Times New Roman" w:cs="Times New Roman"/>
          <w:sz w:val="24"/>
          <w:szCs w:val="24"/>
        </w:rPr>
        <w:t xml:space="preserve"> of</w:t>
      </w:r>
      <w:r w:rsidR="005B0332" w:rsidRPr="00DB384A">
        <w:rPr>
          <w:rFonts w:ascii="Times New Roman" w:hAnsi="Times New Roman" w:cs="Times New Roman"/>
          <w:sz w:val="24"/>
          <w:szCs w:val="24"/>
        </w:rPr>
        <w:t xml:space="preserve"> sex discrimination in prior versions of the </w:t>
      </w:r>
      <w:r w:rsidR="00235A47" w:rsidRPr="00DB384A">
        <w:rPr>
          <w:rFonts w:ascii="Times New Roman" w:hAnsi="Times New Roman" w:cs="Times New Roman"/>
          <w:i/>
          <w:sz w:val="24"/>
          <w:szCs w:val="24"/>
        </w:rPr>
        <w:t xml:space="preserve">Indian Act </w:t>
      </w:r>
      <w:r w:rsidR="00697436" w:rsidRPr="00DB384A">
        <w:rPr>
          <w:rFonts w:ascii="Times New Roman" w:hAnsi="Times New Roman" w:cs="Times New Roman"/>
          <w:sz w:val="24"/>
          <w:szCs w:val="24"/>
        </w:rPr>
        <w:t>over generation</w:t>
      </w:r>
      <w:r w:rsidR="005B0332" w:rsidRPr="00DB384A">
        <w:rPr>
          <w:rFonts w:ascii="Times New Roman" w:hAnsi="Times New Roman" w:cs="Times New Roman"/>
          <w:sz w:val="24"/>
          <w:szCs w:val="24"/>
        </w:rPr>
        <w:t xml:space="preserve">s. </w:t>
      </w:r>
    </w:p>
    <w:p w:rsidR="00B1475F" w:rsidRPr="00DB384A" w:rsidRDefault="00215ADC"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lastRenderedPageBreak/>
        <w:t>Section</w:t>
      </w:r>
      <w:r w:rsidR="00B1475F" w:rsidRPr="00DB384A">
        <w:rPr>
          <w:rFonts w:ascii="Times New Roman" w:hAnsi="Times New Roman" w:cs="Times New Roman"/>
          <w:sz w:val="24"/>
          <w:szCs w:val="24"/>
        </w:rPr>
        <w:t xml:space="preserve"> 6 as implemented by the Policy </w:t>
      </w:r>
      <w:r w:rsidRPr="00DB384A">
        <w:rPr>
          <w:rFonts w:ascii="Times New Roman" w:hAnsi="Times New Roman" w:cs="Times New Roman"/>
          <w:sz w:val="24"/>
          <w:szCs w:val="24"/>
        </w:rPr>
        <w:t xml:space="preserve">has the </w:t>
      </w:r>
      <w:r w:rsidR="00C26C79" w:rsidRPr="00DB384A">
        <w:rPr>
          <w:rFonts w:ascii="Times New Roman" w:hAnsi="Times New Roman" w:cs="Times New Roman"/>
          <w:sz w:val="24"/>
          <w:szCs w:val="24"/>
        </w:rPr>
        <w:t>harshest and most punitive</w:t>
      </w:r>
      <w:r w:rsidRPr="00DB384A">
        <w:rPr>
          <w:rFonts w:ascii="Times New Roman" w:hAnsi="Times New Roman" w:cs="Times New Roman"/>
          <w:sz w:val="24"/>
          <w:szCs w:val="24"/>
        </w:rPr>
        <w:t xml:space="preserve"> impact on</w:t>
      </w:r>
      <w:r w:rsidR="00506F10" w:rsidRPr="00DB384A">
        <w:rPr>
          <w:rFonts w:ascii="Times New Roman" w:hAnsi="Times New Roman" w:cs="Times New Roman"/>
          <w:sz w:val="24"/>
          <w:szCs w:val="24"/>
        </w:rPr>
        <w:t xml:space="preserve"> women registered under s. 6(</w:t>
      </w:r>
      <w:r w:rsidR="007A03E8" w:rsidRPr="00DB384A">
        <w:rPr>
          <w:rFonts w:ascii="Times New Roman" w:hAnsi="Times New Roman" w:cs="Times New Roman"/>
          <w:sz w:val="24"/>
          <w:szCs w:val="24"/>
        </w:rPr>
        <w:t>2</w:t>
      </w:r>
      <w:r w:rsidR="00506F10" w:rsidRPr="00DB384A">
        <w:rPr>
          <w:rFonts w:ascii="Times New Roman" w:hAnsi="Times New Roman" w:cs="Times New Roman"/>
          <w:sz w:val="24"/>
          <w:szCs w:val="24"/>
        </w:rPr>
        <w:t>)</w:t>
      </w:r>
      <w:r w:rsidRPr="00DB384A">
        <w:rPr>
          <w:rFonts w:ascii="Times New Roman" w:hAnsi="Times New Roman" w:cs="Times New Roman"/>
          <w:sz w:val="24"/>
          <w:szCs w:val="24"/>
        </w:rPr>
        <w:t xml:space="preserve">, who </w:t>
      </w:r>
      <w:r w:rsidR="00C26C79" w:rsidRPr="00DB384A">
        <w:rPr>
          <w:rFonts w:ascii="Times New Roman" w:hAnsi="Times New Roman" w:cs="Times New Roman"/>
          <w:sz w:val="24"/>
          <w:szCs w:val="24"/>
        </w:rPr>
        <w:t xml:space="preserve">are </w:t>
      </w:r>
      <w:r w:rsidRPr="00DB384A">
        <w:rPr>
          <w:rFonts w:ascii="Times New Roman" w:hAnsi="Times New Roman" w:cs="Times New Roman"/>
          <w:sz w:val="24"/>
          <w:szCs w:val="24"/>
        </w:rPr>
        <w:t>unable to register their children</w:t>
      </w:r>
      <w:r w:rsidR="00F47FA8">
        <w:rPr>
          <w:rFonts w:ascii="Times New Roman" w:hAnsi="Times New Roman" w:cs="Times New Roman"/>
          <w:sz w:val="24"/>
          <w:szCs w:val="24"/>
        </w:rPr>
        <w:t xml:space="preserve"> if they </w:t>
      </w:r>
      <w:r w:rsidR="00F03F63">
        <w:rPr>
          <w:rFonts w:ascii="Times New Roman" w:hAnsi="Times New Roman" w:cs="Times New Roman"/>
          <w:sz w:val="24"/>
          <w:szCs w:val="24"/>
        </w:rPr>
        <w:t xml:space="preserve">are unable to </w:t>
      </w:r>
      <w:r w:rsidR="00112F67">
        <w:rPr>
          <w:rFonts w:ascii="Times New Roman" w:hAnsi="Times New Roman" w:cs="Times New Roman"/>
          <w:sz w:val="24"/>
          <w:szCs w:val="24"/>
        </w:rPr>
        <w:t xml:space="preserve">prove </w:t>
      </w:r>
      <w:r w:rsidR="00F03F63">
        <w:rPr>
          <w:rFonts w:ascii="Times New Roman" w:hAnsi="Times New Roman" w:cs="Times New Roman"/>
          <w:sz w:val="24"/>
          <w:szCs w:val="24"/>
        </w:rPr>
        <w:t xml:space="preserve">the identity of the child’s father or can do so only at </w:t>
      </w:r>
      <w:r w:rsidR="00796287">
        <w:rPr>
          <w:rFonts w:ascii="Times New Roman" w:hAnsi="Times New Roman" w:cs="Times New Roman"/>
          <w:sz w:val="24"/>
          <w:szCs w:val="24"/>
        </w:rPr>
        <w:t>unacceptably high personal cost</w:t>
      </w:r>
      <w:r w:rsidR="00B72B37" w:rsidRPr="00DB384A">
        <w:rPr>
          <w:rFonts w:ascii="Times New Roman" w:hAnsi="Times New Roman" w:cs="Times New Roman"/>
          <w:sz w:val="24"/>
          <w:szCs w:val="24"/>
        </w:rPr>
        <w:t xml:space="preserve">. </w:t>
      </w:r>
      <w:r w:rsidR="000B723C" w:rsidRPr="00DB384A">
        <w:rPr>
          <w:rFonts w:ascii="Times New Roman" w:hAnsi="Times New Roman" w:cs="Times New Roman"/>
          <w:sz w:val="24"/>
          <w:szCs w:val="24"/>
        </w:rPr>
        <w:t>A</w:t>
      </w:r>
      <w:r w:rsidR="008D7A49" w:rsidRPr="00DB384A">
        <w:rPr>
          <w:rFonts w:ascii="Times New Roman" w:hAnsi="Times New Roman" w:cs="Times New Roman"/>
          <w:sz w:val="24"/>
          <w:szCs w:val="24"/>
        </w:rPr>
        <w:t xml:space="preserve"> </w:t>
      </w:r>
      <w:r w:rsidR="000B723C" w:rsidRPr="00DB384A">
        <w:rPr>
          <w:rFonts w:ascii="Times New Roman" w:hAnsi="Times New Roman" w:cs="Times New Roman"/>
          <w:sz w:val="24"/>
          <w:szCs w:val="24"/>
        </w:rPr>
        <w:t>woman</w:t>
      </w:r>
      <w:r w:rsidR="008D7A49" w:rsidRPr="00DB384A">
        <w:rPr>
          <w:rFonts w:ascii="Times New Roman" w:hAnsi="Times New Roman" w:cs="Times New Roman"/>
          <w:sz w:val="24"/>
          <w:szCs w:val="24"/>
        </w:rPr>
        <w:t xml:space="preserve"> regis</w:t>
      </w:r>
      <w:r w:rsidR="00506F10" w:rsidRPr="00DB384A">
        <w:rPr>
          <w:rFonts w:ascii="Times New Roman" w:hAnsi="Times New Roman" w:cs="Times New Roman"/>
          <w:sz w:val="24"/>
          <w:szCs w:val="24"/>
        </w:rPr>
        <w:t xml:space="preserve">tered under s. 6(1) </w:t>
      </w:r>
      <w:r w:rsidR="00AB6646">
        <w:rPr>
          <w:rFonts w:ascii="Times New Roman" w:hAnsi="Times New Roman" w:cs="Times New Roman"/>
          <w:sz w:val="24"/>
          <w:szCs w:val="24"/>
        </w:rPr>
        <w:t>in the same situation</w:t>
      </w:r>
      <w:r w:rsidR="00C525F4">
        <w:rPr>
          <w:rFonts w:ascii="Times New Roman" w:hAnsi="Times New Roman" w:cs="Times New Roman"/>
          <w:sz w:val="24"/>
          <w:szCs w:val="24"/>
        </w:rPr>
        <w:t xml:space="preserve"> can register her child under s. 6(2),</w:t>
      </w:r>
      <w:r w:rsidR="00B72B37" w:rsidRPr="00DB384A">
        <w:rPr>
          <w:rFonts w:ascii="Times New Roman" w:hAnsi="Times New Roman" w:cs="Times New Roman"/>
          <w:sz w:val="24"/>
          <w:szCs w:val="24"/>
        </w:rPr>
        <w:t xml:space="preserve"> </w:t>
      </w:r>
      <w:proofErr w:type="gramStart"/>
      <w:r w:rsidR="00796287">
        <w:rPr>
          <w:rFonts w:ascii="Times New Roman" w:hAnsi="Times New Roman" w:cs="Times New Roman"/>
          <w:sz w:val="24"/>
          <w:szCs w:val="24"/>
        </w:rPr>
        <w:t xml:space="preserve">but </w:t>
      </w:r>
      <w:r w:rsidR="002D63B9">
        <w:rPr>
          <w:rFonts w:ascii="Times New Roman" w:hAnsi="Times New Roman" w:cs="Times New Roman"/>
          <w:sz w:val="24"/>
          <w:szCs w:val="24"/>
        </w:rPr>
        <w:t xml:space="preserve"> </w:t>
      </w:r>
      <w:r w:rsidR="00B72B37" w:rsidRPr="00DB384A">
        <w:rPr>
          <w:rFonts w:ascii="Times New Roman" w:hAnsi="Times New Roman" w:cs="Times New Roman"/>
          <w:sz w:val="24"/>
          <w:szCs w:val="24"/>
        </w:rPr>
        <w:t>still</w:t>
      </w:r>
      <w:proofErr w:type="gramEnd"/>
      <w:r w:rsidR="000B723C" w:rsidRPr="00DB384A">
        <w:rPr>
          <w:rFonts w:ascii="Times New Roman" w:hAnsi="Times New Roman" w:cs="Times New Roman"/>
          <w:sz w:val="24"/>
          <w:szCs w:val="24"/>
        </w:rPr>
        <w:t xml:space="preserve"> </w:t>
      </w:r>
      <w:r w:rsidR="00506F10" w:rsidRPr="00DB384A">
        <w:rPr>
          <w:rFonts w:ascii="Times New Roman" w:hAnsi="Times New Roman" w:cs="Times New Roman"/>
          <w:sz w:val="24"/>
          <w:szCs w:val="24"/>
        </w:rPr>
        <w:t xml:space="preserve">loses the </w:t>
      </w:r>
      <w:r w:rsidR="000F49AD" w:rsidRPr="00DB384A">
        <w:rPr>
          <w:rFonts w:ascii="Times New Roman" w:hAnsi="Times New Roman" w:cs="Times New Roman"/>
          <w:sz w:val="24"/>
          <w:szCs w:val="24"/>
        </w:rPr>
        <w:t>intangible</w:t>
      </w:r>
      <w:r w:rsidR="00506F10" w:rsidRPr="00DB384A">
        <w:rPr>
          <w:rFonts w:ascii="Times New Roman" w:hAnsi="Times New Roman" w:cs="Times New Roman"/>
          <w:sz w:val="24"/>
          <w:szCs w:val="24"/>
        </w:rPr>
        <w:t xml:space="preserve"> cultural </w:t>
      </w:r>
      <w:r w:rsidRPr="00DB384A">
        <w:rPr>
          <w:rFonts w:ascii="Times New Roman" w:hAnsi="Times New Roman" w:cs="Times New Roman"/>
          <w:sz w:val="24"/>
          <w:szCs w:val="24"/>
        </w:rPr>
        <w:t xml:space="preserve">and material </w:t>
      </w:r>
      <w:r w:rsidR="00506F10" w:rsidRPr="00DB384A">
        <w:rPr>
          <w:rFonts w:ascii="Times New Roman" w:hAnsi="Times New Roman" w:cs="Times New Roman"/>
          <w:sz w:val="24"/>
          <w:szCs w:val="24"/>
        </w:rPr>
        <w:t>benefits</w:t>
      </w:r>
      <w:r w:rsidR="00F676DD" w:rsidRPr="00DB384A">
        <w:rPr>
          <w:rFonts w:ascii="Times New Roman" w:hAnsi="Times New Roman" w:cs="Times New Roman"/>
          <w:sz w:val="24"/>
          <w:szCs w:val="24"/>
        </w:rPr>
        <w:t xml:space="preserve"> </w:t>
      </w:r>
      <w:r w:rsidR="00506F10" w:rsidRPr="00DB384A">
        <w:rPr>
          <w:rFonts w:ascii="Times New Roman" w:hAnsi="Times New Roman" w:cs="Times New Roman"/>
          <w:sz w:val="24"/>
          <w:szCs w:val="24"/>
        </w:rPr>
        <w:t xml:space="preserve">of passing on her status to her grandchildren. </w:t>
      </w:r>
      <w:proofErr w:type="gramStart"/>
      <w:r w:rsidR="00506F10" w:rsidRPr="00DB384A">
        <w:rPr>
          <w:rFonts w:ascii="Times New Roman" w:hAnsi="Times New Roman" w:cs="Times New Roman"/>
          <w:sz w:val="24"/>
          <w:szCs w:val="24"/>
        </w:rPr>
        <w:t>Although it was not “strictly necessary” to resolve the issue</w:t>
      </w:r>
      <w:r w:rsidR="00F676DD" w:rsidRPr="00DB384A">
        <w:rPr>
          <w:rFonts w:ascii="Times New Roman" w:hAnsi="Times New Roman" w:cs="Times New Roman"/>
          <w:sz w:val="24"/>
          <w:szCs w:val="24"/>
        </w:rPr>
        <w:t>s at stake</w:t>
      </w:r>
      <w:r w:rsidR="00AB6646">
        <w:rPr>
          <w:rFonts w:ascii="Times New Roman" w:hAnsi="Times New Roman" w:cs="Times New Roman"/>
          <w:sz w:val="24"/>
          <w:szCs w:val="24"/>
        </w:rPr>
        <w:t xml:space="preserve"> in the appeal</w:t>
      </w:r>
      <w:r w:rsidR="00506F10" w:rsidRPr="00DB384A">
        <w:rPr>
          <w:rFonts w:ascii="Times New Roman" w:hAnsi="Times New Roman" w:cs="Times New Roman"/>
          <w:i/>
          <w:sz w:val="24"/>
          <w:szCs w:val="24"/>
        </w:rPr>
        <w:t xml:space="preserve"> </w:t>
      </w:r>
      <w:r w:rsidR="00DB384A" w:rsidRPr="00DB384A">
        <w:rPr>
          <w:rFonts w:ascii="Times New Roman" w:hAnsi="Times New Roman" w:cs="Times New Roman"/>
          <w:sz w:val="24"/>
          <w:szCs w:val="24"/>
        </w:rPr>
        <w:t xml:space="preserve">in </w:t>
      </w:r>
      <w:r w:rsidR="00DB384A" w:rsidRPr="00DB384A">
        <w:rPr>
          <w:rFonts w:ascii="Times New Roman" w:hAnsi="Times New Roman" w:cs="Times New Roman"/>
          <w:i/>
          <w:sz w:val="24"/>
          <w:szCs w:val="24"/>
        </w:rPr>
        <w:t>McIvor</w:t>
      </w:r>
      <w:r w:rsidR="002A28CA">
        <w:rPr>
          <w:rFonts w:ascii="Times New Roman" w:hAnsi="Times New Roman" w:cs="Times New Roman"/>
          <w:sz w:val="24"/>
          <w:szCs w:val="24"/>
        </w:rPr>
        <w:t xml:space="preserve">, </w:t>
      </w:r>
      <w:r w:rsidR="00506F10" w:rsidRPr="00DB384A">
        <w:rPr>
          <w:rFonts w:ascii="Times New Roman" w:hAnsi="Times New Roman" w:cs="Times New Roman"/>
          <w:sz w:val="24"/>
          <w:szCs w:val="24"/>
        </w:rPr>
        <w:t>the B</w:t>
      </w:r>
      <w:r w:rsidR="00BD7411">
        <w:rPr>
          <w:rFonts w:ascii="Times New Roman" w:hAnsi="Times New Roman" w:cs="Times New Roman"/>
          <w:sz w:val="24"/>
          <w:szCs w:val="24"/>
        </w:rPr>
        <w:t xml:space="preserve">ritish </w:t>
      </w:r>
      <w:r w:rsidR="00506F10" w:rsidRPr="00DB384A">
        <w:rPr>
          <w:rFonts w:ascii="Times New Roman" w:hAnsi="Times New Roman" w:cs="Times New Roman"/>
          <w:sz w:val="24"/>
          <w:szCs w:val="24"/>
        </w:rPr>
        <w:t>C</w:t>
      </w:r>
      <w:r w:rsidR="00BD7411">
        <w:rPr>
          <w:rFonts w:ascii="Times New Roman" w:hAnsi="Times New Roman" w:cs="Times New Roman"/>
          <w:sz w:val="24"/>
          <w:szCs w:val="24"/>
        </w:rPr>
        <w:t>olumbia</w:t>
      </w:r>
      <w:r w:rsidR="00506F10" w:rsidRPr="00DB384A">
        <w:rPr>
          <w:rFonts w:ascii="Times New Roman" w:hAnsi="Times New Roman" w:cs="Times New Roman"/>
          <w:sz w:val="24"/>
          <w:szCs w:val="24"/>
        </w:rPr>
        <w:t xml:space="preserve"> Court of Appeal agreed that</w:t>
      </w:r>
      <w:r w:rsidR="000B723C" w:rsidRPr="00DB384A">
        <w:rPr>
          <w:rFonts w:ascii="Times New Roman" w:hAnsi="Times New Roman" w:cs="Times New Roman"/>
          <w:sz w:val="24"/>
          <w:szCs w:val="24"/>
        </w:rPr>
        <w:t>, “in view of the cultural importance of being recognized as an Indian and the requirement to give s. 15</w:t>
      </w:r>
      <w:r w:rsidR="00C26C79" w:rsidRPr="00DB384A">
        <w:rPr>
          <w:rFonts w:ascii="Times New Roman" w:hAnsi="Times New Roman" w:cs="Times New Roman"/>
          <w:sz w:val="24"/>
          <w:szCs w:val="24"/>
        </w:rPr>
        <w:t xml:space="preserve"> </w:t>
      </w:r>
      <w:r w:rsidR="000B723C" w:rsidRPr="00DB384A">
        <w:rPr>
          <w:rFonts w:ascii="Times New Roman" w:hAnsi="Times New Roman" w:cs="Times New Roman"/>
          <w:sz w:val="24"/>
          <w:szCs w:val="24"/>
        </w:rPr>
        <w:t xml:space="preserve">a broad purposive interpretation”, </w:t>
      </w:r>
      <w:r w:rsidR="00DB384A" w:rsidRPr="00DB384A">
        <w:rPr>
          <w:rFonts w:ascii="Times New Roman" w:hAnsi="Times New Roman" w:cs="Times New Roman"/>
          <w:sz w:val="24"/>
          <w:szCs w:val="24"/>
        </w:rPr>
        <w:t>to deny a grandmother</w:t>
      </w:r>
      <w:r w:rsidRPr="00DB384A">
        <w:rPr>
          <w:rFonts w:ascii="Times New Roman" w:hAnsi="Times New Roman" w:cs="Times New Roman"/>
          <w:sz w:val="24"/>
          <w:szCs w:val="24"/>
        </w:rPr>
        <w:t xml:space="preserve"> the ability to transmit status to a grandchild</w:t>
      </w:r>
      <w:r w:rsidR="00C26C79" w:rsidRPr="00DB384A">
        <w:rPr>
          <w:rFonts w:ascii="Times New Roman" w:hAnsi="Times New Roman" w:cs="Times New Roman"/>
          <w:sz w:val="24"/>
          <w:szCs w:val="24"/>
        </w:rPr>
        <w:t xml:space="preserve"> on the basis of sex</w:t>
      </w:r>
      <w:r w:rsidRPr="00DB384A">
        <w:rPr>
          <w:rFonts w:ascii="Times New Roman" w:hAnsi="Times New Roman" w:cs="Times New Roman"/>
          <w:sz w:val="24"/>
          <w:szCs w:val="24"/>
        </w:rPr>
        <w:t xml:space="preserve"> constitute</w:t>
      </w:r>
      <w:r w:rsidR="00DB384A" w:rsidRPr="00DB384A">
        <w:rPr>
          <w:rFonts w:ascii="Times New Roman" w:hAnsi="Times New Roman" w:cs="Times New Roman"/>
          <w:sz w:val="24"/>
          <w:szCs w:val="24"/>
        </w:rPr>
        <w:t>s</w:t>
      </w:r>
      <w:r w:rsidRPr="00DB384A">
        <w:rPr>
          <w:rFonts w:ascii="Times New Roman" w:hAnsi="Times New Roman" w:cs="Times New Roman"/>
          <w:sz w:val="24"/>
          <w:szCs w:val="24"/>
        </w:rPr>
        <w:t xml:space="preserve"> discrimination</w:t>
      </w:r>
      <w:r w:rsidR="00F47FA8">
        <w:rPr>
          <w:rFonts w:ascii="Times New Roman" w:hAnsi="Times New Roman" w:cs="Times New Roman"/>
          <w:sz w:val="24"/>
          <w:szCs w:val="24"/>
        </w:rPr>
        <w:t xml:space="preserve"> under s. 15(1)</w:t>
      </w:r>
      <w:r w:rsidRPr="00DB384A">
        <w:rPr>
          <w:rFonts w:ascii="Times New Roman" w:hAnsi="Times New Roman" w:cs="Times New Roman"/>
          <w:sz w:val="24"/>
          <w:szCs w:val="24"/>
        </w:rPr>
        <w:t>.</w:t>
      </w:r>
      <w:r w:rsidRPr="00DB384A">
        <w:rPr>
          <w:rStyle w:val="FootnoteReference"/>
          <w:rFonts w:ascii="Times New Roman" w:hAnsi="Times New Roman" w:cs="Times New Roman"/>
          <w:sz w:val="24"/>
          <w:szCs w:val="24"/>
        </w:rPr>
        <w:footnoteReference w:id="52"/>
      </w:r>
      <w:proofErr w:type="gramEnd"/>
    </w:p>
    <w:p w:rsidR="00B72B37" w:rsidRPr="00B354CC" w:rsidRDefault="00B72B37" w:rsidP="00B354CC">
      <w:pPr>
        <w:pStyle w:val="FactumBodyL1"/>
        <w:spacing w:after="0"/>
        <w:ind w:left="0" w:firstLine="0"/>
        <w:rPr>
          <w:rFonts w:ascii="Times New Roman" w:hAnsi="Times New Roman" w:cs="Times New Roman"/>
          <w:sz w:val="24"/>
          <w:szCs w:val="24"/>
        </w:rPr>
      </w:pPr>
      <w:r w:rsidRPr="00DB384A">
        <w:rPr>
          <w:rFonts w:ascii="Times New Roman" w:hAnsi="Times New Roman" w:cs="Times New Roman"/>
          <w:sz w:val="24"/>
          <w:szCs w:val="24"/>
        </w:rPr>
        <w:t>In addition, th</w:t>
      </w:r>
      <w:r w:rsidR="00976A6F" w:rsidRPr="00DB384A">
        <w:rPr>
          <w:rFonts w:ascii="Times New Roman" w:hAnsi="Times New Roman" w:cs="Times New Roman"/>
          <w:sz w:val="24"/>
          <w:szCs w:val="24"/>
        </w:rPr>
        <w:t>e</w:t>
      </w:r>
      <w:r w:rsidRPr="00DB384A">
        <w:rPr>
          <w:rFonts w:ascii="Times New Roman" w:hAnsi="Times New Roman" w:cs="Times New Roman"/>
          <w:sz w:val="24"/>
          <w:szCs w:val="24"/>
        </w:rPr>
        <w:t xml:space="preserve"> children of wom</w:t>
      </w:r>
      <w:r w:rsidR="00DB384A">
        <w:rPr>
          <w:rFonts w:ascii="Times New Roman" w:hAnsi="Times New Roman" w:cs="Times New Roman"/>
          <w:sz w:val="24"/>
          <w:szCs w:val="24"/>
        </w:rPr>
        <w:t>e</w:t>
      </w:r>
      <w:r w:rsidRPr="00DB384A">
        <w:rPr>
          <w:rFonts w:ascii="Times New Roman" w:hAnsi="Times New Roman" w:cs="Times New Roman"/>
          <w:sz w:val="24"/>
          <w:szCs w:val="24"/>
        </w:rPr>
        <w:t xml:space="preserve">n registered under s. 6(1) and an </w:t>
      </w:r>
      <w:r w:rsidR="00F03F63">
        <w:rPr>
          <w:rFonts w:ascii="Times New Roman" w:hAnsi="Times New Roman" w:cs="Times New Roman"/>
          <w:sz w:val="24"/>
          <w:szCs w:val="24"/>
        </w:rPr>
        <w:t>unproven</w:t>
      </w:r>
      <w:r w:rsidRPr="00DB384A">
        <w:rPr>
          <w:rFonts w:ascii="Times New Roman" w:hAnsi="Times New Roman" w:cs="Times New Roman"/>
          <w:sz w:val="24"/>
          <w:szCs w:val="24"/>
        </w:rPr>
        <w:t xml:space="preserve"> father</w:t>
      </w:r>
      <w:r w:rsidR="007E1231">
        <w:rPr>
          <w:rFonts w:ascii="Times New Roman" w:hAnsi="Times New Roman" w:cs="Times New Roman"/>
          <w:sz w:val="24"/>
          <w:szCs w:val="24"/>
        </w:rPr>
        <w:t xml:space="preserve"> may</w:t>
      </w:r>
      <w:r w:rsidRPr="00DB384A">
        <w:rPr>
          <w:rFonts w:ascii="Times New Roman" w:hAnsi="Times New Roman" w:cs="Times New Roman"/>
          <w:sz w:val="24"/>
          <w:szCs w:val="24"/>
        </w:rPr>
        <w:t xml:space="preserve"> one day face additional material disadvantage as a result of discrimination against their mother</w:t>
      </w:r>
      <w:r w:rsidR="00DB384A">
        <w:rPr>
          <w:rFonts w:ascii="Times New Roman" w:hAnsi="Times New Roman" w:cs="Times New Roman"/>
          <w:sz w:val="24"/>
          <w:szCs w:val="24"/>
        </w:rPr>
        <w:t>s</w:t>
      </w:r>
      <w:r w:rsidRPr="00DB384A">
        <w:rPr>
          <w:rFonts w:ascii="Times New Roman" w:hAnsi="Times New Roman" w:cs="Times New Roman"/>
          <w:sz w:val="24"/>
          <w:szCs w:val="24"/>
        </w:rPr>
        <w:t xml:space="preserve">, as </w:t>
      </w:r>
      <w:r w:rsidR="00805DCE">
        <w:rPr>
          <w:rFonts w:ascii="Times New Roman" w:hAnsi="Times New Roman" w:cs="Times New Roman"/>
          <w:sz w:val="24"/>
          <w:szCs w:val="24"/>
        </w:rPr>
        <w:t xml:space="preserve">they </w:t>
      </w:r>
      <w:r w:rsidR="00B354CC">
        <w:rPr>
          <w:rFonts w:ascii="Times New Roman" w:hAnsi="Times New Roman" w:cs="Times New Roman"/>
          <w:sz w:val="24"/>
          <w:szCs w:val="24"/>
        </w:rPr>
        <w:t>will</w:t>
      </w:r>
      <w:r w:rsidR="00805DCE">
        <w:rPr>
          <w:rFonts w:ascii="Times New Roman" w:hAnsi="Times New Roman" w:cs="Times New Roman"/>
          <w:sz w:val="24"/>
          <w:szCs w:val="24"/>
        </w:rPr>
        <w:t xml:space="preserve"> be</w:t>
      </w:r>
      <w:r w:rsidRPr="00DB384A">
        <w:rPr>
          <w:rFonts w:ascii="Times New Roman" w:hAnsi="Times New Roman" w:cs="Times New Roman"/>
          <w:sz w:val="24"/>
          <w:szCs w:val="24"/>
        </w:rPr>
        <w:t xml:space="preserve"> unable to register their own children under the </w:t>
      </w:r>
      <w:r w:rsidRPr="00DB384A">
        <w:rPr>
          <w:rFonts w:ascii="Times New Roman" w:hAnsi="Times New Roman" w:cs="Times New Roman"/>
          <w:i/>
          <w:sz w:val="24"/>
          <w:szCs w:val="24"/>
        </w:rPr>
        <w:t>Indian Act</w:t>
      </w:r>
      <w:r w:rsidR="00805DCE">
        <w:rPr>
          <w:rFonts w:ascii="Times New Roman" w:hAnsi="Times New Roman" w:cs="Times New Roman"/>
          <w:sz w:val="24"/>
          <w:szCs w:val="24"/>
        </w:rPr>
        <w:t xml:space="preserve"> unless the</w:t>
      </w:r>
      <w:r w:rsidR="00BD7411">
        <w:rPr>
          <w:rFonts w:ascii="Times New Roman" w:hAnsi="Times New Roman" w:cs="Times New Roman"/>
          <w:sz w:val="24"/>
          <w:szCs w:val="24"/>
        </w:rPr>
        <w:t>ir</w:t>
      </w:r>
      <w:r w:rsidR="00805DCE">
        <w:rPr>
          <w:rFonts w:ascii="Times New Roman" w:hAnsi="Times New Roman" w:cs="Times New Roman"/>
          <w:sz w:val="24"/>
          <w:szCs w:val="24"/>
        </w:rPr>
        <w:t xml:space="preserve"> child’s other parent </w:t>
      </w:r>
      <w:r w:rsidR="00DC1464">
        <w:rPr>
          <w:rFonts w:ascii="Times New Roman" w:hAnsi="Times New Roman" w:cs="Times New Roman"/>
          <w:sz w:val="24"/>
          <w:szCs w:val="24"/>
        </w:rPr>
        <w:t>is entitled to status</w:t>
      </w:r>
      <w:r w:rsidR="00805DCE">
        <w:rPr>
          <w:rFonts w:ascii="Times New Roman" w:hAnsi="Times New Roman" w:cs="Times New Roman"/>
          <w:sz w:val="24"/>
          <w:szCs w:val="24"/>
        </w:rPr>
        <w:t>.</w:t>
      </w:r>
      <w:r w:rsidRPr="00DB384A">
        <w:rPr>
          <w:rFonts w:ascii="Times New Roman" w:hAnsi="Times New Roman" w:cs="Times New Roman"/>
          <w:sz w:val="24"/>
          <w:szCs w:val="24"/>
        </w:rPr>
        <w:t xml:space="preserve"> I</w:t>
      </w:r>
      <w:r w:rsidR="00BA262A">
        <w:rPr>
          <w:rFonts w:ascii="Times New Roman" w:hAnsi="Times New Roman" w:cs="Times New Roman"/>
          <w:sz w:val="24"/>
          <w:szCs w:val="24"/>
        </w:rPr>
        <w:t xml:space="preserve">t is </w:t>
      </w:r>
      <w:proofErr w:type="gramStart"/>
      <w:r w:rsidR="00BA262A">
        <w:rPr>
          <w:rFonts w:ascii="Times New Roman" w:hAnsi="Times New Roman" w:cs="Times New Roman"/>
          <w:sz w:val="24"/>
          <w:szCs w:val="24"/>
        </w:rPr>
        <w:t>well-established</w:t>
      </w:r>
      <w:proofErr w:type="gramEnd"/>
      <w:r w:rsidR="00BA262A">
        <w:rPr>
          <w:rFonts w:ascii="Times New Roman" w:hAnsi="Times New Roman" w:cs="Times New Roman"/>
          <w:sz w:val="24"/>
          <w:szCs w:val="24"/>
        </w:rPr>
        <w:t xml:space="preserve"> that i</w:t>
      </w:r>
      <w:r w:rsidRPr="00DB384A">
        <w:rPr>
          <w:rFonts w:ascii="Times New Roman" w:hAnsi="Times New Roman" w:cs="Times New Roman"/>
          <w:sz w:val="24"/>
          <w:szCs w:val="24"/>
        </w:rPr>
        <w:t xml:space="preserve">mposing </w:t>
      </w:r>
      <w:r w:rsidR="00BA262A">
        <w:rPr>
          <w:rFonts w:ascii="Times New Roman" w:hAnsi="Times New Roman" w:cs="Times New Roman"/>
          <w:sz w:val="24"/>
          <w:szCs w:val="24"/>
        </w:rPr>
        <w:t>a</w:t>
      </w:r>
      <w:r w:rsidRPr="00DB384A">
        <w:rPr>
          <w:rFonts w:ascii="Times New Roman" w:hAnsi="Times New Roman" w:cs="Times New Roman"/>
          <w:sz w:val="24"/>
          <w:szCs w:val="24"/>
        </w:rPr>
        <w:t xml:space="preserve"> disadvantage on</w:t>
      </w:r>
      <w:r w:rsidR="00BA262A">
        <w:rPr>
          <w:rFonts w:ascii="Times New Roman" w:hAnsi="Times New Roman" w:cs="Times New Roman"/>
          <w:sz w:val="24"/>
          <w:szCs w:val="24"/>
        </w:rPr>
        <w:t xml:space="preserve"> or denying a benefit to</w:t>
      </w:r>
      <w:r w:rsidRPr="00DB384A">
        <w:rPr>
          <w:rFonts w:ascii="Times New Roman" w:hAnsi="Times New Roman" w:cs="Times New Roman"/>
          <w:sz w:val="24"/>
          <w:szCs w:val="24"/>
        </w:rPr>
        <w:t xml:space="preserve"> a child on the basis of the sex of their parent or grandparent constitutes discrimination against that child under s. 15(1). </w:t>
      </w:r>
      <w:r w:rsidR="00BA262A">
        <w:rPr>
          <w:rFonts w:ascii="Times New Roman" w:hAnsi="Times New Roman" w:cs="Times New Roman"/>
          <w:sz w:val="24"/>
          <w:szCs w:val="24"/>
        </w:rPr>
        <w:t xml:space="preserve">In </w:t>
      </w:r>
      <w:r w:rsidR="001A6CF7" w:rsidRPr="00D12F4E">
        <w:rPr>
          <w:rFonts w:ascii="Times New Roman" w:hAnsi="Times New Roman" w:cs="Times New Roman"/>
          <w:i/>
          <w:sz w:val="24"/>
          <w:szCs w:val="24"/>
        </w:rPr>
        <w:t xml:space="preserve">Benner v </w:t>
      </w:r>
      <w:r w:rsidR="00D12F4E" w:rsidRPr="00D12F4E">
        <w:rPr>
          <w:rFonts w:ascii="Times New Roman" w:hAnsi="Times New Roman" w:cs="Times New Roman"/>
          <w:i/>
          <w:sz w:val="24"/>
          <w:szCs w:val="24"/>
        </w:rPr>
        <w:t>Canada (Secretary of State)</w:t>
      </w:r>
      <w:r w:rsidR="00EB00EB" w:rsidRPr="00D12F4E">
        <w:rPr>
          <w:rFonts w:ascii="Times New Roman" w:hAnsi="Times New Roman" w:cs="Times New Roman"/>
          <w:sz w:val="24"/>
          <w:szCs w:val="24"/>
        </w:rPr>
        <w:t>,</w:t>
      </w:r>
      <w:r w:rsidR="00BA262A">
        <w:rPr>
          <w:rFonts w:ascii="Times New Roman" w:hAnsi="Times New Roman" w:cs="Times New Roman"/>
          <w:sz w:val="24"/>
          <w:szCs w:val="24"/>
        </w:rPr>
        <w:t xml:space="preserve"> for example,</w:t>
      </w:r>
      <w:r w:rsidR="00EB00EB">
        <w:rPr>
          <w:rFonts w:ascii="Times New Roman" w:hAnsi="Times New Roman" w:cs="Times New Roman"/>
          <w:sz w:val="24"/>
          <w:szCs w:val="24"/>
        </w:rPr>
        <w:t xml:space="preserve"> the Supreme</w:t>
      </w:r>
      <w:r w:rsidR="00D12F4E">
        <w:rPr>
          <w:rFonts w:ascii="Times New Roman" w:hAnsi="Times New Roman" w:cs="Times New Roman"/>
          <w:sz w:val="24"/>
          <w:szCs w:val="24"/>
        </w:rPr>
        <w:t xml:space="preserve"> Court </w:t>
      </w:r>
      <w:r w:rsidR="00B10B40">
        <w:rPr>
          <w:rFonts w:ascii="Times New Roman" w:hAnsi="Times New Roman" w:cs="Times New Roman"/>
          <w:sz w:val="24"/>
          <w:szCs w:val="24"/>
        </w:rPr>
        <w:t xml:space="preserve">concluded that </w:t>
      </w:r>
      <w:r w:rsidR="00EA0E7E">
        <w:rPr>
          <w:rFonts w:ascii="Times New Roman" w:hAnsi="Times New Roman" w:cs="Times New Roman"/>
          <w:sz w:val="24"/>
          <w:szCs w:val="24"/>
        </w:rPr>
        <w:t>a law that</w:t>
      </w:r>
      <w:r w:rsidR="00D12F4E">
        <w:rPr>
          <w:rFonts w:ascii="Times New Roman" w:hAnsi="Times New Roman" w:cs="Times New Roman"/>
          <w:sz w:val="24"/>
          <w:szCs w:val="24"/>
        </w:rPr>
        <w:t xml:space="preserve"> imposed more onerous requirements to obtain Canadian citizenship on </w:t>
      </w:r>
      <w:r w:rsidR="00EA0E7E">
        <w:rPr>
          <w:rFonts w:ascii="Times New Roman" w:hAnsi="Times New Roman" w:cs="Times New Roman"/>
          <w:sz w:val="24"/>
          <w:szCs w:val="24"/>
        </w:rPr>
        <w:t>children of</w:t>
      </w:r>
      <w:r w:rsidR="00D12F4E">
        <w:rPr>
          <w:rFonts w:ascii="Times New Roman" w:hAnsi="Times New Roman" w:cs="Times New Roman"/>
          <w:sz w:val="24"/>
          <w:szCs w:val="24"/>
        </w:rPr>
        <w:t xml:space="preserve"> a </w:t>
      </w:r>
      <w:r w:rsidR="00EA0E7E">
        <w:rPr>
          <w:rFonts w:ascii="Times New Roman" w:hAnsi="Times New Roman" w:cs="Times New Roman"/>
          <w:sz w:val="24"/>
          <w:szCs w:val="24"/>
        </w:rPr>
        <w:t>Canadian mother than on children of</w:t>
      </w:r>
      <w:r w:rsidR="00D12F4E">
        <w:rPr>
          <w:rFonts w:ascii="Times New Roman" w:hAnsi="Times New Roman" w:cs="Times New Roman"/>
          <w:sz w:val="24"/>
          <w:szCs w:val="24"/>
        </w:rPr>
        <w:t xml:space="preserve"> a Canadian father</w:t>
      </w:r>
      <w:r w:rsidR="00EA0E7E">
        <w:rPr>
          <w:rFonts w:ascii="Times New Roman" w:hAnsi="Times New Roman" w:cs="Times New Roman"/>
          <w:sz w:val="24"/>
          <w:szCs w:val="24"/>
        </w:rPr>
        <w:t xml:space="preserve"> discriminated </w:t>
      </w:r>
      <w:r w:rsidR="00B354CC">
        <w:rPr>
          <w:rFonts w:ascii="Times New Roman" w:hAnsi="Times New Roman" w:cs="Times New Roman"/>
          <w:sz w:val="24"/>
          <w:szCs w:val="24"/>
        </w:rPr>
        <w:t xml:space="preserve">against the children </w:t>
      </w:r>
      <w:proofErr w:type="gramStart"/>
      <w:r w:rsidR="00B354CC">
        <w:rPr>
          <w:rFonts w:ascii="Times New Roman" w:hAnsi="Times New Roman" w:cs="Times New Roman"/>
          <w:sz w:val="24"/>
          <w:szCs w:val="24"/>
        </w:rPr>
        <w:t>on the basis of</w:t>
      </w:r>
      <w:proofErr w:type="gramEnd"/>
      <w:r w:rsidR="00B354CC">
        <w:rPr>
          <w:rFonts w:ascii="Times New Roman" w:hAnsi="Times New Roman" w:cs="Times New Roman"/>
          <w:sz w:val="24"/>
          <w:szCs w:val="24"/>
        </w:rPr>
        <w:t xml:space="preserve"> sex</w:t>
      </w:r>
      <w:r w:rsidR="00EB00EB" w:rsidRPr="00B354CC">
        <w:rPr>
          <w:sz w:val="24"/>
          <w:szCs w:val="24"/>
        </w:rPr>
        <w:t>.</w:t>
      </w:r>
      <w:r w:rsidR="00D12F4E" w:rsidRPr="00DB384A">
        <w:rPr>
          <w:rStyle w:val="FootnoteReference"/>
          <w:rFonts w:ascii="Times New Roman" w:hAnsi="Times New Roman" w:cs="Times New Roman"/>
          <w:sz w:val="24"/>
          <w:szCs w:val="24"/>
        </w:rPr>
        <w:footnoteReference w:id="53"/>
      </w:r>
      <w:r w:rsidR="007E1231">
        <w:rPr>
          <w:rFonts w:ascii="Times New Roman" w:hAnsi="Times New Roman" w:cs="Times New Roman"/>
          <w:sz w:val="24"/>
          <w:szCs w:val="24"/>
        </w:rPr>
        <w:t xml:space="preserve"> This case is analogous.</w:t>
      </w:r>
    </w:p>
    <w:p w:rsidR="00067CA5" w:rsidRDefault="00067CA5" w:rsidP="009A4E07">
      <w:pPr>
        <w:pStyle w:val="FactumBodyL1"/>
        <w:numPr>
          <w:ilvl w:val="0"/>
          <w:numId w:val="0"/>
        </w:numPr>
        <w:spacing w:line="240" w:lineRule="auto"/>
        <w:ind w:left="720"/>
        <w:rPr>
          <w:rFonts w:ascii="Times New Roman" w:hAnsi="Times New Roman" w:cs="Times New Roman"/>
          <w:b/>
          <w:i/>
          <w:sz w:val="24"/>
          <w:szCs w:val="24"/>
        </w:rPr>
      </w:pPr>
    </w:p>
    <w:p w:rsidR="00067CA5" w:rsidRDefault="00067CA5" w:rsidP="009A4E07">
      <w:pPr>
        <w:pStyle w:val="FactumBodyL1"/>
        <w:numPr>
          <w:ilvl w:val="0"/>
          <w:numId w:val="0"/>
        </w:numPr>
        <w:spacing w:line="240" w:lineRule="auto"/>
        <w:ind w:left="720"/>
        <w:rPr>
          <w:rFonts w:ascii="Times New Roman" w:hAnsi="Times New Roman" w:cs="Times New Roman"/>
          <w:b/>
          <w:i/>
          <w:sz w:val="24"/>
          <w:szCs w:val="24"/>
        </w:rPr>
      </w:pPr>
    </w:p>
    <w:p w:rsidR="00057420" w:rsidRPr="00DB384A" w:rsidRDefault="00057420" w:rsidP="009A4E07">
      <w:pPr>
        <w:pStyle w:val="FactumBodyL1"/>
        <w:numPr>
          <w:ilvl w:val="0"/>
          <w:numId w:val="0"/>
        </w:numPr>
        <w:spacing w:line="240" w:lineRule="auto"/>
        <w:ind w:left="720"/>
        <w:rPr>
          <w:rFonts w:ascii="Times New Roman" w:hAnsi="Times New Roman" w:cs="Times New Roman"/>
          <w:b/>
          <w:i/>
          <w:sz w:val="24"/>
          <w:szCs w:val="24"/>
        </w:rPr>
      </w:pPr>
      <w:r w:rsidRPr="00DB384A">
        <w:rPr>
          <w:rFonts w:ascii="Times New Roman" w:hAnsi="Times New Roman" w:cs="Times New Roman"/>
          <w:b/>
          <w:i/>
          <w:sz w:val="24"/>
          <w:szCs w:val="24"/>
        </w:rPr>
        <w:lastRenderedPageBreak/>
        <w:t>b) Section 6 and the Proof of Paternity Policy fail to respond to the actual situation of Registered Indian Women</w:t>
      </w:r>
    </w:p>
    <w:p w:rsidR="00697436" w:rsidRPr="00DB384A" w:rsidRDefault="00697436"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The </w:t>
      </w:r>
      <w:r w:rsidR="005B0332" w:rsidRPr="00DB384A">
        <w:rPr>
          <w:rFonts w:ascii="Times New Roman" w:hAnsi="Times New Roman" w:cs="Times New Roman"/>
          <w:sz w:val="24"/>
          <w:szCs w:val="24"/>
        </w:rPr>
        <w:t xml:space="preserve">combination of s. </w:t>
      </w:r>
      <w:proofErr w:type="gramStart"/>
      <w:r w:rsidR="005B0332" w:rsidRPr="00DB384A">
        <w:rPr>
          <w:rFonts w:ascii="Times New Roman" w:hAnsi="Times New Roman" w:cs="Times New Roman"/>
          <w:sz w:val="24"/>
          <w:szCs w:val="24"/>
        </w:rPr>
        <w:t>6</w:t>
      </w:r>
      <w:proofErr w:type="gramEnd"/>
      <w:r w:rsidR="005B0332" w:rsidRPr="00DB384A">
        <w:rPr>
          <w:rFonts w:ascii="Times New Roman" w:hAnsi="Times New Roman" w:cs="Times New Roman"/>
          <w:sz w:val="24"/>
          <w:szCs w:val="24"/>
        </w:rPr>
        <w:t xml:space="preserve"> and the </w:t>
      </w:r>
      <w:r w:rsidRPr="00DB384A">
        <w:rPr>
          <w:rFonts w:ascii="Times New Roman" w:hAnsi="Times New Roman" w:cs="Times New Roman"/>
          <w:sz w:val="24"/>
          <w:szCs w:val="24"/>
        </w:rPr>
        <w:t>Proof of Paternity Policy gives Registered Indian women no real option for equal access to registering their children and th</w:t>
      </w:r>
      <w:r w:rsidR="00057420" w:rsidRPr="00DB384A">
        <w:rPr>
          <w:rFonts w:ascii="Times New Roman" w:hAnsi="Times New Roman" w:cs="Times New Roman"/>
          <w:sz w:val="24"/>
          <w:szCs w:val="24"/>
        </w:rPr>
        <w:t>erefore fail</w:t>
      </w:r>
      <w:r w:rsidR="00112F67">
        <w:rPr>
          <w:rFonts w:ascii="Times New Roman" w:hAnsi="Times New Roman" w:cs="Times New Roman"/>
          <w:sz w:val="24"/>
          <w:szCs w:val="24"/>
        </w:rPr>
        <w:t>s</w:t>
      </w:r>
      <w:r w:rsidRPr="00DB384A">
        <w:rPr>
          <w:rFonts w:ascii="Times New Roman" w:hAnsi="Times New Roman" w:cs="Times New Roman"/>
          <w:sz w:val="24"/>
          <w:szCs w:val="24"/>
        </w:rPr>
        <w:t xml:space="preserve"> to respond to their </w:t>
      </w:r>
      <w:r w:rsidR="00DB384A">
        <w:rPr>
          <w:rFonts w:ascii="Times New Roman" w:hAnsi="Times New Roman" w:cs="Times New Roman"/>
          <w:sz w:val="24"/>
          <w:szCs w:val="24"/>
        </w:rPr>
        <w:t>lived reality</w:t>
      </w:r>
      <w:r w:rsidRPr="00DB384A">
        <w:rPr>
          <w:rFonts w:ascii="Times New Roman" w:hAnsi="Times New Roman" w:cs="Times New Roman"/>
          <w:sz w:val="24"/>
          <w:szCs w:val="24"/>
        </w:rPr>
        <w:t xml:space="preserve">, needs and capacities.     </w:t>
      </w:r>
    </w:p>
    <w:p w:rsidR="00697436" w:rsidRPr="00DB384A" w:rsidRDefault="004D47C3"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As noted above, s</w:t>
      </w:r>
      <w:r w:rsidR="00697436" w:rsidRPr="00DB384A">
        <w:rPr>
          <w:rFonts w:ascii="Times New Roman" w:hAnsi="Times New Roman" w:cs="Times New Roman"/>
          <w:sz w:val="24"/>
          <w:szCs w:val="24"/>
        </w:rPr>
        <w:t xml:space="preserve">ome Registered Indian women cannot </w:t>
      </w:r>
      <w:r w:rsidR="00F03F63">
        <w:rPr>
          <w:rFonts w:ascii="Times New Roman" w:hAnsi="Times New Roman" w:cs="Times New Roman"/>
          <w:sz w:val="24"/>
          <w:szCs w:val="24"/>
        </w:rPr>
        <w:t>prove paternity because the father’s identity is unknown or uncertain</w:t>
      </w:r>
      <w:r w:rsidR="00112D64" w:rsidRPr="00DB384A">
        <w:rPr>
          <w:rFonts w:ascii="Times New Roman" w:hAnsi="Times New Roman" w:cs="Times New Roman"/>
          <w:sz w:val="24"/>
          <w:szCs w:val="24"/>
        </w:rPr>
        <w:t xml:space="preserve">, </w:t>
      </w:r>
      <w:r w:rsidR="00F03F63">
        <w:rPr>
          <w:rFonts w:ascii="Times New Roman" w:hAnsi="Times New Roman" w:cs="Times New Roman"/>
          <w:sz w:val="24"/>
          <w:szCs w:val="24"/>
        </w:rPr>
        <w:t xml:space="preserve">where, </w:t>
      </w:r>
      <w:r w:rsidR="00112D64" w:rsidRPr="00DB384A">
        <w:rPr>
          <w:rFonts w:ascii="Times New Roman" w:hAnsi="Times New Roman" w:cs="Times New Roman"/>
          <w:sz w:val="24"/>
          <w:szCs w:val="24"/>
        </w:rPr>
        <w:t xml:space="preserve">for instance they have multiple partners or engage in sex </w:t>
      </w:r>
      <w:r w:rsidR="002D63B9">
        <w:rPr>
          <w:rFonts w:ascii="Times New Roman" w:hAnsi="Times New Roman" w:cs="Times New Roman"/>
          <w:sz w:val="24"/>
          <w:szCs w:val="24"/>
        </w:rPr>
        <w:t>in exchange for payment</w:t>
      </w:r>
      <w:r w:rsidR="00DB384A">
        <w:rPr>
          <w:rFonts w:ascii="Times New Roman" w:hAnsi="Times New Roman" w:cs="Times New Roman"/>
          <w:sz w:val="24"/>
          <w:szCs w:val="24"/>
        </w:rPr>
        <w:t>.</w:t>
      </w:r>
      <w:r w:rsidR="001E336A" w:rsidRPr="00DB384A">
        <w:rPr>
          <w:rFonts w:ascii="Times New Roman" w:hAnsi="Times New Roman" w:cs="Times New Roman"/>
          <w:sz w:val="24"/>
          <w:szCs w:val="24"/>
        </w:rPr>
        <w:t xml:space="preserve"> </w:t>
      </w:r>
      <w:r w:rsidR="00F03F63">
        <w:rPr>
          <w:rFonts w:ascii="Times New Roman" w:hAnsi="Times New Roman" w:cs="Times New Roman"/>
          <w:sz w:val="24"/>
          <w:szCs w:val="24"/>
        </w:rPr>
        <w:t>Others can only prove paternity at an u</w:t>
      </w:r>
      <w:r w:rsidR="00796287">
        <w:rPr>
          <w:rFonts w:ascii="Times New Roman" w:hAnsi="Times New Roman" w:cs="Times New Roman"/>
          <w:sz w:val="24"/>
          <w:szCs w:val="24"/>
        </w:rPr>
        <w:t>nacceptably high personal cost.</w:t>
      </w:r>
      <w:r w:rsidR="00F03F63">
        <w:rPr>
          <w:rFonts w:ascii="Times New Roman" w:hAnsi="Times New Roman" w:cs="Times New Roman"/>
          <w:sz w:val="24"/>
          <w:szCs w:val="24"/>
        </w:rPr>
        <w:t xml:space="preserve"> </w:t>
      </w:r>
      <w:r w:rsidR="00DC1464">
        <w:rPr>
          <w:rFonts w:ascii="Times New Roman" w:hAnsi="Times New Roman" w:cs="Times New Roman"/>
          <w:sz w:val="24"/>
          <w:szCs w:val="24"/>
        </w:rPr>
        <w:t>Where the</w:t>
      </w:r>
      <w:r w:rsidR="00697436" w:rsidRPr="00DB384A">
        <w:rPr>
          <w:rFonts w:ascii="Times New Roman" w:hAnsi="Times New Roman" w:cs="Times New Roman"/>
          <w:sz w:val="24"/>
          <w:szCs w:val="24"/>
        </w:rPr>
        <w:t xml:space="preserve"> father of their child is married to another person</w:t>
      </w:r>
      <w:r w:rsidR="00DE4FA2">
        <w:rPr>
          <w:rFonts w:ascii="Times New Roman" w:hAnsi="Times New Roman" w:cs="Times New Roman"/>
          <w:sz w:val="24"/>
          <w:szCs w:val="24"/>
        </w:rPr>
        <w:t xml:space="preserve">, </w:t>
      </w:r>
      <w:r w:rsidR="00112F67">
        <w:rPr>
          <w:rFonts w:ascii="Times New Roman" w:hAnsi="Times New Roman" w:cs="Times New Roman"/>
          <w:sz w:val="24"/>
          <w:szCs w:val="24"/>
        </w:rPr>
        <w:t>establish</w:t>
      </w:r>
      <w:r w:rsidR="00DE4FA2">
        <w:rPr>
          <w:rFonts w:ascii="Times New Roman" w:hAnsi="Times New Roman" w:cs="Times New Roman"/>
          <w:sz w:val="24"/>
          <w:szCs w:val="24"/>
        </w:rPr>
        <w:t>ing paternity may result in profound stigma, loss of community, and loss of support networks</w:t>
      </w:r>
      <w:r w:rsidR="00697436" w:rsidRPr="00DB384A">
        <w:rPr>
          <w:rFonts w:ascii="Times New Roman" w:hAnsi="Times New Roman" w:cs="Times New Roman"/>
          <w:sz w:val="24"/>
          <w:szCs w:val="24"/>
        </w:rPr>
        <w:t>.</w:t>
      </w:r>
      <w:r w:rsidR="00BA7F82" w:rsidRPr="00DB384A">
        <w:rPr>
          <w:rFonts w:ascii="Times New Roman" w:hAnsi="Times New Roman" w:cs="Times New Roman"/>
          <w:sz w:val="24"/>
          <w:szCs w:val="24"/>
        </w:rPr>
        <w:t xml:space="preserve"> </w:t>
      </w:r>
      <w:r w:rsidR="00796287">
        <w:rPr>
          <w:rFonts w:ascii="Times New Roman" w:hAnsi="Times New Roman" w:cs="Times New Roman"/>
          <w:sz w:val="24"/>
          <w:szCs w:val="24"/>
        </w:rPr>
        <w:t xml:space="preserve">For women </w:t>
      </w:r>
      <w:r w:rsidR="00697436" w:rsidRPr="00DB384A">
        <w:rPr>
          <w:rFonts w:ascii="Times New Roman" w:hAnsi="Times New Roman" w:cs="Times New Roman"/>
          <w:sz w:val="24"/>
          <w:szCs w:val="24"/>
        </w:rPr>
        <w:t>who have experienced rape, intimate partner violence or incest,</w:t>
      </w:r>
      <w:r w:rsidR="00796287">
        <w:rPr>
          <w:rFonts w:ascii="Times New Roman" w:hAnsi="Times New Roman" w:cs="Times New Roman"/>
          <w:sz w:val="24"/>
          <w:szCs w:val="24"/>
        </w:rPr>
        <w:t xml:space="preserve"> </w:t>
      </w:r>
      <w:r w:rsidR="00DE4FA2">
        <w:rPr>
          <w:rFonts w:ascii="Times New Roman" w:hAnsi="Times New Roman" w:cs="Times New Roman"/>
          <w:sz w:val="24"/>
          <w:szCs w:val="24"/>
        </w:rPr>
        <w:t xml:space="preserve">proving paternity </w:t>
      </w:r>
      <w:r w:rsidR="00796287">
        <w:rPr>
          <w:rFonts w:ascii="Times New Roman" w:hAnsi="Times New Roman" w:cs="Times New Roman"/>
          <w:sz w:val="24"/>
          <w:szCs w:val="24"/>
        </w:rPr>
        <w:t>may</w:t>
      </w:r>
      <w:r w:rsidR="00DE4FA2">
        <w:rPr>
          <w:rFonts w:ascii="Times New Roman" w:hAnsi="Times New Roman" w:cs="Times New Roman"/>
          <w:sz w:val="24"/>
          <w:szCs w:val="24"/>
        </w:rPr>
        <w:t xml:space="preserve"> expose them to the risk or reality of further</w:t>
      </w:r>
      <w:r w:rsidR="00BA262A">
        <w:rPr>
          <w:rFonts w:ascii="Times New Roman" w:hAnsi="Times New Roman" w:cs="Times New Roman"/>
          <w:sz w:val="24"/>
          <w:szCs w:val="24"/>
        </w:rPr>
        <w:t xml:space="preserve"> violence and</w:t>
      </w:r>
      <w:r w:rsidR="00DE4FA2">
        <w:rPr>
          <w:rFonts w:ascii="Times New Roman" w:hAnsi="Times New Roman" w:cs="Times New Roman"/>
          <w:sz w:val="24"/>
          <w:szCs w:val="24"/>
        </w:rPr>
        <w:t xml:space="preserve"> </w:t>
      </w:r>
      <w:r w:rsidR="00DC1464">
        <w:rPr>
          <w:rFonts w:ascii="Times New Roman" w:hAnsi="Times New Roman" w:cs="Times New Roman"/>
          <w:sz w:val="24"/>
          <w:szCs w:val="24"/>
        </w:rPr>
        <w:t>abuse</w:t>
      </w:r>
      <w:r w:rsidR="00DE4FA2">
        <w:rPr>
          <w:rFonts w:ascii="Times New Roman" w:hAnsi="Times New Roman" w:cs="Times New Roman"/>
          <w:sz w:val="24"/>
          <w:szCs w:val="24"/>
        </w:rPr>
        <w:t>, and at the very least the trauma of continued or renewed contact with the perpetrator.</w:t>
      </w:r>
      <w:r w:rsidR="001E336A" w:rsidRPr="00DB384A">
        <w:rPr>
          <w:rFonts w:ascii="Times New Roman" w:hAnsi="Times New Roman" w:cs="Times New Roman"/>
          <w:sz w:val="24"/>
          <w:szCs w:val="24"/>
        </w:rPr>
        <w:t xml:space="preserve"> </w:t>
      </w:r>
      <w:r w:rsidR="00D9656D">
        <w:rPr>
          <w:rFonts w:ascii="Times New Roman" w:hAnsi="Times New Roman" w:cs="Times New Roman"/>
          <w:sz w:val="24"/>
          <w:szCs w:val="24"/>
        </w:rPr>
        <w:t>Other women</w:t>
      </w:r>
      <w:r w:rsidR="001E336A" w:rsidRPr="00DB384A">
        <w:rPr>
          <w:rFonts w:ascii="Times New Roman" w:hAnsi="Times New Roman" w:cs="Times New Roman"/>
          <w:sz w:val="24"/>
          <w:szCs w:val="24"/>
        </w:rPr>
        <w:t xml:space="preserve"> may </w:t>
      </w:r>
      <w:r w:rsidR="00DE4FA2">
        <w:rPr>
          <w:rFonts w:ascii="Times New Roman" w:hAnsi="Times New Roman" w:cs="Times New Roman"/>
          <w:sz w:val="24"/>
          <w:szCs w:val="24"/>
        </w:rPr>
        <w:t xml:space="preserve">be unable to prove paternity because </w:t>
      </w:r>
      <w:r w:rsidR="001E336A" w:rsidRPr="00DB384A">
        <w:rPr>
          <w:rFonts w:ascii="Times New Roman" w:hAnsi="Times New Roman" w:cs="Times New Roman"/>
          <w:sz w:val="24"/>
          <w:szCs w:val="24"/>
        </w:rPr>
        <w:t xml:space="preserve">the Registered Indian father of their child </w:t>
      </w:r>
      <w:r w:rsidR="00DE4FA2">
        <w:rPr>
          <w:rFonts w:ascii="Times New Roman" w:hAnsi="Times New Roman" w:cs="Times New Roman"/>
          <w:sz w:val="24"/>
          <w:szCs w:val="24"/>
        </w:rPr>
        <w:t>refuses</w:t>
      </w:r>
      <w:r w:rsidR="001A6CF7">
        <w:rPr>
          <w:rFonts w:ascii="Times New Roman" w:hAnsi="Times New Roman" w:cs="Times New Roman"/>
          <w:sz w:val="24"/>
          <w:szCs w:val="24"/>
        </w:rPr>
        <w:t xml:space="preserve"> </w:t>
      </w:r>
      <w:r w:rsidR="001E336A" w:rsidRPr="00DB384A">
        <w:rPr>
          <w:rFonts w:ascii="Times New Roman" w:hAnsi="Times New Roman" w:cs="Times New Roman"/>
          <w:sz w:val="24"/>
          <w:szCs w:val="24"/>
        </w:rPr>
        <w:t xml:space="preserve">to </w:t>
      </w:r>
      <w:r w:rsidR="00DB384A">
        <w:rPr>
          <w:rFonts w:ascii="Times New Roman" w:hAnsi="Times New Roman" w:cs="Times New Roman"/>
          <w:sz w:val="24"/>
          <w:szCs w:val="24"/>
        </w:rPr>
        <w:t xml:space="preserve">acknowledge </w:t>
      </w:r>
      <w:r w:rsidR="00DE4FA2">
        <w:rPr>
          <w:rFonts w:ascii="Times New Roman" w:hAnsi="Times New Roman" w:cs="Times New Roman"/>
          <w:sz w:val="24"/>
          <w:szCs w:val="24"/>
        </w:rPr>
        <w:t>it</w:t>
      </w:r>
      <w:r w:rsidR="001E336A" w:rsidRPr="00DB384A">
        <w:rPr>
          <w:rFonts w:ascii="Times New Roman" w:hAnsi="Times New Roman" w:cs="Times New Roman"/>
          <w:sz w:val="24"/>
          <w:szCs w:val="24"/>
        </w:rPr>
        <w:t>.</w:t>
      </w:r>
    </w:p>
    <w:p w:rsidR="00012FB1" w:rsidRPr="00DB384A" w:rsidRDefault="00697436"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 xml:space="preserve">None of the forms of evidence </w:t>
      </w:r>
      <w:r w:rsidR="00F530A4" w:rsidRPr="00DB384A">
        <w:rPr>
          <w:rFonts w:ascii="Times New Roman" w:hAnsi="Times New Roman" w:cs="Times New Roman"/>
          <w:sz w:val="24"/>
          <w:szCs w:val="24"/>
        </w:rPr>
        <w:t xml:space="preserve">accepted under the Proof of Paternity Policy </w:t>
      </w:r>
      <w:r w:rsidRPr="00DB384A">
        <w:rPr>
          <w:rFonts w:ascii="Times New Roman" w:hAnsi="Times New Roman" w:cs="Times New Roman"/>
          <w:sz w:val="24"/>
          <w:szCs w:val="24"/>
        </w:rPr>
        <w:t>offer viable options for these women</w:t>
      </w:r>
      <w:r w:rsidR="00DB384A">
        <w:rPr>
          <w:rFonts w:ascii="Times New Roman" w:hAnsi="Times New Roman" w:cs="Times New Roman"/>
          <w:sz w:val="24"/>
          <w:szCs w:val="24"/>
        </w:rPr>
        <w:t xml:space="preserve"> to</w:t>
      </w:r>
      <w:r w:rsidR="00AF0586" w:rsidRPr="00DB384A">
        <w:rPr>
          <w:rFonts w:ascii="Times New Roman" w:hAnsi="Times New Roman" w:cs="Times New Roman"/>
          <w:sz w:val="24"/>
          <w:szCs w:val="24"/>
        </w:rPr>
        <w:t xml:space="preserve"> access the registration provisions on behalf of their children</w:t>
      </w:r>
      <w:r w:rsidRPr="00DB384A">
        <w:rPr>
          <w:rFonts w:ascii="Times New Roman" w:hAnsi="Times New Roman" w:cs="Times New Roman"/>
          <w:sz w:val="24"/>
          <w:szCs w:val="24"/>
        </w:rPr>
        <w:t>.</w:t>
      </w:r>
      <w:r w:rsidR="00C56580" w:rsidRPr="00DB384A">
        <w:rPr>
          <w:rFonts w:ascii="Times New Roman" w:hAnsi="Times New Roman" w:cs="Times New Roman"/>
          <w:sz w:val="24"/>
          <w:szCs w:val="24"/>
        </w:rPr>
        <w:t xml:space="preserve"> </w:t>
      </w:r>
      <w:r w:rsidR="009476CC" w:rsidRPr="00DB384A">
        <w:rPr>
          <w:rFonts w:ascii="Times New Roman" w:hAnsi="Times New Roman" w:cs="Times New Roman"/>
          <w:sz w:val="24"/>
          <w:szCs w:val="24"/>
        </w:rPr>
        <w:t xml:space="preserve">Any form of evidence that requires the participation of the father or close relatives </w:t>
      </w:r>
      <w:r w:rsidR="00AF0586" w:rsidRPr="00DB384A">
        <w:rPr>
          <w:rFonts w:ascii="Times New Roman" w:hAnsi="Times New Roman" w:cs="Times New Roman"/>
          <w:sz w:val="24"/>
          <w:szCs w:val="24"/>
        </w:rPr>
        <w:t xml:space="preserve">poses </w:t>
      </w:r>
      <w:r w:rsidRPr="00DB384A">
        <w:rPr>
          <w:rFonts w:ascii="Times New Roman" w:hAnsi="Times New Roman" w:cs="Times New Roman"/>
          <w:sz w:val="24"/>
          <w:szCs w:val="24"/>
        </w:rPr>
        <w:t>risks</w:t>
      </w:r>
      <w:r w:rsidR="00AF0586" w:rsidRPr="00DB384A">
        <w:rPr>
          <w:rFonts w:ascii="Times New Roman" w:hAnsi="Times New Roman" w:cs="Times New Roman"/>
          <w:sz w:val="24"/>
          <w:szCs w:val="24"/>
        </w:rPr>
        <w:t xml:space="preserve"> for</w:t>
      </w:r>
      <w:r w:rsidRPr="00DB384A">
        <w:rPr>
          <w:rFonts w:ascii="Times New Roman" w:hAnsi="Times New Roman" w:cs="Times New Roman"/>
          <w:sz w:val="24"/>
          <w:szCs w:val="24"/>
        </w:rPr>
        <w:t xml:space="preserve"> women who are refusing to state paternity because of violence</w:t>
      </w:r>
      <w:r w:rsidR="007F7457">
        <w:rPr>
          <w:rFonts w:ascii="Times New Roman" w:hAnsi="Times New Roman" w:cs="Times New Roman"/>
          <w:sz w:val="24"/>
          <w:szCs w:val="24"/>
        </w:rPr>
        <w:t xml:space="preserve"> or because of serious</w:t>
      </w:r>
      <w:r w:rsidR="00057420" w:rsidRPr="00DB384A">
        <w:rPr>
          <w:rFonts w:ascii="Times New Roman" w:hAnsi="Times New Roman" w:cs="Times New Roman"/>
          <w:sz w:val="24"/>
          <w:szCs w:val="24"/>
        </w:rPr>
        <w:t xml:space="preserve"> social </w:t>
      </w:r>
      <w:r w:rsidR="0039055B">
        <w:rPr>
          <w:rFonts w:ascii="Times New Roman" w:hAnsi="Times New Roman" w:cs="Times New Roman"/>
          <w:sz w:val="24"/>
          <w:szCs w:val="24"/>
        </w:rPr>
        <w:t xml:space="preserve">repercussions. </w:t>
      </w:r>
      <w:r w:rsidR="00805DCE">
        <w:rPr>
          <w:rFonts w:ascii="Times New Roman" w:hAnsi="Times New Roman" w:cs="Times New Roman"/>
          <w:sz w:val="24"/>
          <w:szCs w:val="24"/>
        </w:rPr>
        <w:t>Any such form of evidence</w:t>
      </w:r>
      <w:r w:rsidR="00AB6646">
        <w:rPr>
          <w:rFonts w:ascii="Times New Roman" w:hAnsi="Times New Roman" w:cs="Times New Roman"/>
          <w:sz w:val="24"/>
          <w:szCs w:val="24"/>
        </w:rPr>
        <w:t xml:space="preserve"> similarly offers</w:t>
      </w:r>
      <w:r w:rsidR="007D56BB" w:rsidRPr="00DB384A">
        <w:rPr>
          <w:rFonts w:ascii="Times New Roman" w:hAnsi="Times New Roman" w:cs="Times New Roman"/>
          <w:sz w:val="24"/>
          <w:szCs w:val="24"/>
        </w:rPr>
        <w:t xml:space="preserve"> no assistance to</w:t>
      </w:r>
      <w:r w:rsidRPr="00DB384A">
        <w:rPr>
          <w:rFonts w:ascii="Times New Roman" w:hAnsi="Times New Roman" w:cs="Times New Roman"/>
          <w:sz w:val="24"/>
          <w:szCs w:val="24"/>
        </w:rPr>
        <w:t xml:space="preserve"> women who cannot identify the father of their children</w:t>
      </w:r>
      <w:r w:rsidR="00A713BA">
        <w:rPr>
          <w:rFonts w:ascii="Times New Roman" w:hAnsi="Times New Roman" w:cs="Times New Roman"/>
          <w:sz w:val="24"/>
          <w:szCs w:val="24"/>
        </w:rPr>
        <w:t xml:space="preserve"> or to women who seek but cannot get the father or his family members to acknowledge his paternity</w:t>
      </w:r>
      <w:r w:rsidRPr="00DB384A">
        <w:rPr>
          <w:rFonts w:ascii="Times New Roman" w:hAnsi="Times New Roman" w:cs="Times New Roman"/>
          <w:sz w:val="24"/>
          <w:szCs w:val="24"/>
        </w:rPr>
        <w:t xml:space="preserve">. A court order stating paternity, a DNA sample or hearing into paternity are costly, invasive and potentially risky </w:t>
      </w:r>
      <w:proofErr w:type="gramStart"/>
      <w:r w:rsidRPr="00DB384A">
        <w:rPr>
          <w:rFonts w:ascii="Times New Roman" w:hAnsi="Times New Roman" w:cs="Times New Roman"/>
          <w:sz w:val="24"/>
          <w:szCs w:val="24"/>
        </w:rPr>
        <w:t>alternativ</w:t>
      </w:r>
      <w:r w:rsidR="00673B42" w:rsidRPr="00DB384A">
        <w:rPr>
          <w:rFonts w:ascii="Times New Roman" w:hAnsi="Times New Roman" w:cs="Times New Roman"/>
          <w:sz w:val="24"/>
          <w:szCs w:val="24"/>
        </w:rPr>
        <w:t>es which</w:t>
      </w:r>
      <w:proofErr w:type="gramEnd"/>
      <w:r w:rsidR="00673B42" w:rsidRPr="00DB384A">
        <w:rPr>
          <w:rFonts w:ascii="Times New Roman" w:hAnsi="Times New Roman" w:cs="Times New Roman"/>
          <w:sz w:val="24"/>
          <w:szCs w:val="24"/>
        </w:rPr>
        <w:t xml:space="preserve"> may</w:t>
      </w:r>
      <w:r w:rsidR="00AB6646">
        <w:rPr>
          <w:rFonts w:ascii="Times New Roman" w:hAnsi="Times New Roman" w:cs="Times New Roman"/>
          <w:sz w:val="24"/>
          <w:szCs w:val="24"/>
        </w:rPr>
        <w:t xml:space="preserve"> still</w:t>
      </w:r>
      <w:r w:rsidR="00673B42" w:rsidRPr="00DB384A">
        <w:rPr>
          <w:rFonts w:ascii="Times New Roman" w:hAnsi="Times New Roman" w:cs="Times New Roman"/>
          <w:sz w:val="24"/>
          <w:szCs w:val="24"/>
        </w:rPr>
        <w:t xml:space="preserve"> require contact with the child’s father.</w:t>
      </w:r>
      <w:r w:rsidRPr="00DB384A">
        <w:rPr>
          <w:rFonts w:ascii="Times New Roman" w:hAnsi="Times New Roman" w:cs="Times New Roman"/>
          <w:sz w:val="24"/>
          <w:szCs w:val="24"/>
        </w:rPr>
        <w:t xml:space="preserve"> They invite</w:t>
      </w:r>
      <w:r w:rsidR="00883110">
        <w:rPr>
          <w:rFonts w:ascii="Times New Roman" w:hAnsi="Times New Roman" w:cs="Times New Roman"/>
          <w:sz w:val="24"/>
          <w:szCs w:val="24"/>
        </w:rPr>
        <w:t xml:space="preserve"> a</w:t>
      </w:r>
      <w:r w:rsidRPr="00DB384A">
        <w:rPr>
          <w:rFonts w:ascii="Times New Roman" w:hAnsi="Times New Roman" w:cs="Times New Roman"/>
          <w:sz w:val="24"/>
          <w:szCs w:val="24"/>
        </w:rPr>
        <w:t xml:space="preserve"> </w:t>
      </w:r>
      <w:r w:rsidR="00673B42" w:rsidRPr="00DB384A">
        <w:rPr>
          <w:rFonts w:ascii="Times New Roman" w:hAnsi="Times New Roman" w:cs="Times New Roman"/>
          <w:sz w:val="24"/>
          <w:szCs w:val="24"/>
        </w:rPr>
        <w:t xml:space="preserve">potentially </w:t>
      </w:r>
      <w:r w:rsidRPr="00DB384A">
        <w:rPr>
          <w:rFonts w:ascii="Times New Roman" w:hAnsi="Times New Roman" w:cs="Times New Roman"/>
          <w:sz w:val="24"/>
          <w:szCs w:val="24"/>
        </w:rPr>
        <w:t>searching interro</w:t>
      </w:r>
      <w:r w:rsidR="00B354CC">
        <w:rPr>
          <w:rFonts w:ascii="Times New Roman" w:hAnsi="Times New Roman" w:cs="Times New Roman"/>
          <w:sz w:val="24"/>
          <w:szCs w:val="24"/>
        </w:rPr>
        <w:t>gation of a woman’s sexual life</w:t>
      </w:r>
      <w:r w:rsidRPr="00DB384A">
        <w:rPr>
          <w:rFonts w:ascii="Times New Roman" w:hAnsi="Times New Roman" w:cs="Times New Roman"/>
          <w:sz w:val="24"/>
          <w:szCs w:val="24"/>
        </w:rPr>
        <w:t xml:space="preserve"> and her experiences of violence, which may be traumatizing. Through</w:t>
      </w:r>
      <w:r w:rsidR="00805DCE">
        <w:rPr>
          <w:rFonts w:ascii="Times New Roman" w:hAnsi="Times New Roman" w:cs="Times New Roman"/>
          <w:sz w:val="24"/>
          <w:szCs w:val="24"/>
        </w:rPr>
        <w:t xml:space="preserve"> s</w:t>
      </w:r>
      <w:r w:rsidR="009476CC" w:rsidRPr="00DB384A">
        <w:rPr>
          <w:rFonts w:ascii="Times New Roman" w:hAnsi="Times New Roman" w:cs="Times New Roman"/>
          <w:sz w:val="24"/>
          <w:szCs w:val="24"/>
        </w:rPr>
        <w:t xml:space="preserve">. </w:t>
      </w:r>
      <w:proofErr w:type="gramStart"/>
      <w:r w:rsidR="009476CC" w:rsidRPr="00DB384A">
        <w:rPr>
          <w:rFonts w:ascii="Times New Roman" w:hAnsi="Times New Roman" w:cs="Times New Roman"/>
          <w:sz w:val="24"/>
          <w:szCs w:val="24"/>
        </w:rPr>
        <w:t>6</w:t>
      </w:r>
      <w:proofErr w:type="gramEnd"/>
      <w:r w:rsidR="009476CC" w:rsidRPr="00DB384A">
        <w:rPr>
          <w:rFonts w:ascii="Times New Roman" w:hAnsi="Times New Roman" w:cs="Times New Roman"/>
          <w:sz w:val="24"/>
          <w:szCs w:val="24"/>
        </w:rPr>
        <w:t xml:space="preserve"> </w:t>
      </w:r>
      <w:r w:rsidR="009476CC" w:rsidRPr="00DB384A">
        <w:rPr>
          <w:rFonts w:ascii="Times New Roman" w:hAnsi="Times New Roman" w:cs="Times New Roman"/>
          <w:sz w:val="24"/>
          <w:szCs w:val="24"/>
        </w:rPr>
        <w:lastRenderedPageBreak/>
        <w:t xml:space="preserve">of the </w:t>
      </w:r>
      <w:r w:rsidR="009476CC" w:rsidRPr="00DB384A">
        <w:rPr>
          <w:rFonts w:ascii="Times New Roman" w:hAnsi="Times New Roman" w:cs="Times New Roman"/>
          <w:i/>
          <w:sz w:val="24"/>
          <w:szCs w:val="24"/>
        </w:rPr>
        <w:t xml:space="preserve">Indian Act </w:t>
      </w:r>
      <w:r w:rsidR="00805DCE">
        <w:rPr>
          <w:rFonts w:ascii="Times New Roman" w:hAnsi="Times New Roman" w:cs="Times New Roman"/>
          <w:sz w:val="24"/>
          <w:szCs w:val="24"/>
        </w:rPr>
        <w:t>as it is applied by the</w:t>
      </w:r>
      <w:r w:rsidRPr="00DB384A">
        <w:rPr>
          <w:rFonts w:ascii="Times New Roman" w:hAnsi="Times New Roman" w:cs="Times New Roman"/>
          <w:sz w:val="24"/>
          <w:szCs w:val="24"/>
        </w:rPr>
        <w:t xml:space="preserve"> Policy, the state </w:t>
      </w:r>
      <w:r w:rsidR="009476CC" w:rsidRPr="00DB384A">
        <w:rPr>
          <w:rFonts w:ascii="Times New Roman" w:hAnsi="Times New Roman" w:cs="Times New Roman"/>
          <w:sz w:val="24"/>
          <w:szCs w:val="24"/>
        </w:rPr>
        <w:t>puts</w:t>
      </w:r>
      <w:r w:rsidRPr="00DB384A">
        <w:rPr>
          <w:rFonts w:ascii="Times New Roman" w:hAnsi="Times New Roman" w:cs="Times New Roman"/>
          <w:sz w:val="24"/>
          <w:szCs w:val="24"/>
        </w:rPr>
        <w:t xml:space="preserve"> Registered Indian women into an impossible bind, forcing them to choose between access to benefits for their children and a potentially wrenching or risky experience of disclosure, if disclosure is even possible. </w:t>
      </w:r>
      <w:r w:rsidR="00012FB1" w:rsidRPr="00DB384A">
        <w:rPr>
          <w:rFonts w:ascii="Times New Roman" w:hAnsi="Times New Roman" w:cs="Times New Roman"/>
          <w:sz w:val="24"/>
          <w:szCs w:val="24"/>
        </w:rPr>
        <w:t xml:space="preserve">  </w:t>
      </w:r>
    </w:p>
    <w:p w:rsidR="00012FB1" w:rsidRPr="00DB384A" w:rsidRDefault="00012FB1" w:rsidP="00540E63">
      <w:pPr>
        <w:pStyle w:val="FactumBodyL1"/>
        <w:spacing w:after="0"/>
        <w:ind w:left="0" w:firstLine="0"/>
        <w:rPr>
          <w:rFonts w:ascii="Times New Roman" w:hAnsi="Times New Roman" w:cs="Times New Roman"/>
          <w:sz w:val="24"/>
          <w:szCs w:val="24"/>
        </w:rPr>
      </w:pPr>
      <w:r w:rsidRPr="00DB384A">
        <w:rPr>
          <w:rFonts w:ascii="Times New Roman" w:hAnsi="Times New Roman" w:cs="Times New Roman"/>
          <w:sz w:val="24"/>
          <w:szCs w:val="24"/>
        </w:rPr>
        <w:t>In an</w:t>
      </w:r>
      <w:r w:rsidR="00522496" w:rsidRPr="00DB384A">
        <w:rPr>
          <w:rFonts w:ascii="Times New Roman" w:hAnsi="Times New Roman" w:cs="Times New Roman"/>
          <w:sz w:val="24"/>
          <w:szCs w:val="24"/>
        </w:rPr>
        <w:t xml:space="preserve">y event, </w:t>
      </w:r>
      <w:r w:rsidR="00E6403F" w:rsidRPr="00DB384A">
        <w:rPr>
          <w:rFonts w:ascii="Times New Roman" w:hAnsi="Times New Roman" w:cs="Times New Roman"/>
          <w:sz w:val="24"/>
          <w:szCs w:val="24"/>
        </w:rPr>
        <w:t>“</w:t>
      </w:r>
      <w:r w:rsidRPr="00DB384A">
        <w:rPr>
          <w:rFonts w:ascii="Times New Roman" w:hAnsi="Times New Roman" w:cs="Times New Roman"/>
          <w:sz w:val="24"/>
          <w:szCs w:val="24"/>
        </w:rPr>
        <w:t>choice</w:t>
      </w:r>
      <w:r w:rsidR="00E6403F" w:rsidRPr="00DB384A">
        <w:rPr>
          <w:rFonts w:ascii="Times New Roman" w:hAnsi="Times New Roman" w:cs="Times New Roman"/>
          <w:sz w:val="24"/>
          <w:szCs w:val="24"/>
        </w:rPr>
        <w:t>”</w:t>
      </w:r>
      <w:r w:rsidRPr="00DB384A">
        <w:rPr>
          <w:rFonts w:ascii="Times New Roman" w:hAnsi="Times New Roman" w:cs="Times New Roman"/>
          <w:sz w:val="24"/>
          <w:szCs w:val="24"/>
        </w:rPr>
        <w:t xml:space="preserve"> </w:t>
      </w:r>
      <w:r w:rsidR="00907594">
        <w:rPr>
          <w:rFonts w:ascii="Times New Roman" w:hAnsi="Times New Roman" w:cs="Times New Roman"/>
          <w:sz w:val="24"/>
          <w:szCs w:val="24"/>
        </w:rPr>
        <w:t xml:space="preserve">should not </w:t>
      </w:r>
      <w:r w:rsidRPr="00DB384A">
        <w:rPr>
          <w:rFonts w:ascii="Times New Roman" w:hAnsi="Times New Roman" w:cs="Times New Roman"/>
          <w:sz w:val="24"/>
          <w:szCs w:val="24"/>
        </w:rPr>
        <w:t>protect a distinction from a</w:t>
      </w:r>
      <w:r w:rsidR="00522496" w:rsidRPr="00DB384A">
        <w:rPr>
          <w:rFonts w:ascii="Times New Roman" w:hAnsi="Times New Roman" w:cs="Times New Roman"/>
          <w:sz w:val="24"/>
          <w:szCs w:val="24"/>
        </w:rPr>
        <w:t xml:space="preserve"> finding of discrimination</w:t>
      </w:r>
      <w:r w:rsidR="00907594">
        <w:rPr>
          <w:rFonts w:ascii="Times New Roman" w:hAnsi="Times New Roman" w:cs="Times New Roman"/>
          <w:sz w:val="24"/>
          <w:szCs w:val="24"/>
        </w:rPr>
        <w:t>:</w:t>
      </w:r>
    </w:p>
    <w:p w:rsidR="00673B42" w:rsidRPr="00DB384A" w:rsidRDefault="00012FB1" w:rsidP="001A6CF7">
      <w:pPr>
        <w:pStyle w:val="Block1"/>
        <w:spacing w:after="240" w:line="240" w:lineRule="auto"/>
        <w:jc w:val="both"/>
        <w:rPr>
          <w:sz w:val="24"/>
          <w:szCs w:val="24"/>
        </w:rPr>
      </w:pPr>
      <w:r w:rsidRPr="00DB384A">
        <w:rPr>
          <w:sz w:val="24"/>
          <w:szCs w:val="24"/>
        </w:rPr>
        <w:t xml:space="preserve">In contrast to formal equality, which assumes an </w:t>
      </w:r>
      <w:r w:rsidR="007F7457">
        <w:rPr>
          <w:sz w:val="24"/>
          <w:szCs w:val="24"/>
        </w:rPr>
        <w:t>‘</w:t>
      </w:r>
      <w:r w:rsidRPr="00DB384A">
        <w:rPr>
          <w:sz w:val="24"/>
          <w:szCs w:val="24"/>
        </w:rPr>
        <w:t>autonomous, self</w:t>
      </w:r>
      <w:r w:rsidR="007F7457">
        <w:rPr>
          <w:sz w:val="24"/>
          <w:szCs w:val="24"/>
        </w:rPr>
        <w:t>-interested and self-determined’</w:t>
      </w:r>
      <w:r w:rsidRPr="00DB384A">
        <w:rPr>
          <w:sz w:val="24"/>
          <w:szCs w:val="24"/>
        </w:rPr>
        <w:t xml:space="preserve"> individual, substantive equality looks not only at the choices that are a</w:t>
      </w:r>
      <w:r w:rsidR="007F7457">
        <w:rPr>
          <w:sz w:val="24"/>
          <w:szCs w:val="24"/>
        </w:rPr>
        <w:t>vailable to individuals but at ‘</w:t>
      </w:r>
      <w:r w:rsidRPr="00DB384A">
        <w:rPr>
          <w:sz w:val="24"/>
          <w:szCs w:val="24"/>
        </w:rPr>
        <w:t>the social and economic envir</w:t>
      </w:r>
      <w:r w:rsidR="000436BE" w:rsidRPr="00DB384A">
        <w:rPr>
          <w:sz w:val="24"/>
          <w:szCs w:val="24"/>
        </w:rPr>
        <w:t xml:space="preserve">onments in which [they play] </w:t>
      </w:r>
      <w:r w:rsidR="007F7457">
        <w:rPr>
          <w:sz w:val="24"/>
          <w:szCs w:val="24"/>
        </w:rPr>
        <w:t>out.’</w:t>
      </w:r>
      <w:r w:rsidRPr="00DB384A">
        <w:rPr>
          <w:rStyle w:val="FootnoteReference"/>
          <w:rFonts w:ascii="Times New Roman" w:hAnsi="Times New Roman" w:cs="Times New Roman"/>
          <w:sz w:val="24"/>
          <w:szCs w:val="24"/>
        </w:rPr>
        <w:footnoteReference w:id="54"/>
      </w:r>
      <w:r w:rsidRPr="00DB384A">
        <w:rPr>
          <w:sz w:val="24"/>
          <w:szCs w:val="24"/>
        </w:rPr>
        <w:t xml:space="preserve"> </w:t>
      </w:r>
    </w:p>
    <w:p w:rsidR="00AF0586" w:rsidRPr="00805DCE" w:rsidRDefault="00907594" w:rsidP="004251D7">
      <w:pPr>
        <w:pStyle w:val="FactumBodyL1"/>
        <w:numPr>
          <w:ilvl w:val="0"/>
          <w:numId w:val="0"/>
        </w:numPr>
        <w:spacing w:after="120"/>
        <w:rPr>
          <w:rFonts w:ascii="Times New Roman" w:hAnsi="Times New Roman" w:cs="Times New Roman"/>
          <w:sz w:val="24"/>
          <w:szCs w:val="24"/>
        </w:rPr>
      </w:pPr>
      <w:r>
        <w:rPr>
          <w:rFonts w:ascii="Times New Roman" w:hAnsi="Times New Roman" w:cs="Times New Roman"/>
          <w:sz w:val="24"/>
          <w:szCs w:val="24"/>
        </w:rPr>
        <w:t>Due to</w:t>
      </w:r>
      <w:r w:rsidR="00AF0586" w:rsidRPr="00DB384A">
        <w:rPr>
          <w:rFonts w:ascii="Times New Roman" w:hAnsi="Times New Roman" w:cs="Times New Roman"/>
          <w:sz w:val="24"/>
          <w:szCs w:val="24"/>
        </w:rPr>
        <w:t xml:space="preserve"> violence, </w:t>
      </w:r>
      <w:r w:rsidR="00AB6646">
        <w:rPr>
          <w:rFonts w:ascii="Times New Roman" w:hAnsi="Times New Roman" w:cs="Times New Roman"/>
          <w:sz w:val="24"/>
          <w:szCs w:val="24"/>
        </w:rPr>
        <w:t>social conditions</w:t>
      </w:r>
      <w:r w:rsidR="00AF0586" w:rsidRPr="00DB384A">
        <w:rPr>
          <w:rFonts w:ascii="Times New Roman" w:hAnsi="Times New Roman" w:cs="Times New Roman"/>
          <w:sz w:val="24"/>
          <w:szCs w:val="24"/>
        </w:rPr>
        <w:t xml:space="preserve">, and/or unknown paternity, </w:t>
      </w:r>
      <w:r w:rsidR="00012FB1" w:rsidRPr="00DB384A">
        <w:rPr>
          <w:rFonts w:ascii="Times New Roman" w:hAnsi="Times New Roman" w:cs="Times New Roman"/>
          <w:sz w:val="24"/>
          <w:szCs w:val="24"/>
        </w:rPr>
        <w:t xml:space="preserve">for many </w:t>
      </w:r>
      <w:r w:rsidR="003C5B92" w:rsidRPr="00DB384A">
        <w:rPr>
          <w:rFonts w:ascii="Times New Roman" w:hAnsi="Times New Roman" w:cs="Times New Roman"/>
          <w:sz w:val="24"/>
          <w:szCs w:val="24"/>
        </w:rPr>
        <w:t xml:space="preserve">Registered Indian </w:t>
      </w:r>
      <w:r w:rsidR="00012FB1" w:rsidRPr="00DB384A">
        <w:rPr>
          <w:rFonts w:ascii="Times New Roman" w:hAnsi="Times New Roman" w:cs="Times New Roman"/>
          <w:sz w:val="24"/>
          <w:szCs w:val="24"/>
        </w:rPr>
        <w:t xml:space="preserve">women, the “choice” to </w:t>
      </w:r>
      <w:r w:rsidR="00F833C3">
        <w:rPr>
          <w:rFonts w:ascii="Times New Roman" w:hAnsi="Times New Roman" w:cs="Times New Roman"/>
          <w:sz w:val="24"/>
          <w:szCs w:val="24"/>
        </w:rPr>
        <w:t>prove</w:t>
      </w:r>
      <w:r w:rsidR="00F833C3" w:rsidRPr="00DB384A">
        <w:rPr>
          <w:rFonts w:ascii="Times New Roman" w:hAnsi="Times New Roman" w:cs="Times New Roman"/>
          <w:sz w:val="24"/>
          <w:szCs w:val="24"/>
        </w:rPr>
        <w:t xml:space="preserve"> </w:t>
      </w:r>
      <w:r w:rsidR="00012FB1" w:rsidRPr="00DB384A">
        <w:rPr>
          <w:rFonts w:ascii="Times New Roman" w:hAnsi="Times New Roman" w:cs="Times New Roman"/>
          <w:sz w:val="24"/>
          <w:szCs w:val="24"/>
        </w:rPr>
        <w:t>paternity is no choice at all.</w:t>
      </w:r>
      <w:r w:rsidR="00805DCE">
        <w:rPr>
          <w:rFonts w:ascii="Times New Roman" w:hAnsi="Times New Roman" w:cs="Times New Roman"/>
          <w:sz w:val="24"/>
          <w:szCs w:val="24"/>
        </w:rPr>
        <w:t xml:space="preserve"> </w:t>
      </w:r>
    </w:p>
    <w:p w:rsidR="00FD145D" w:rsidRPr="00DB384A" w:rsidRDefault="00AD4A97" w:rsidP="009A4E07">
      <w:pPr>
        <w:pStyle w:val="FactumHeadingL3"/>
        <w:spacing w:after="240"/>
        <w:rPr>
          <w:rFonts w:ascii="Times New Roman" w:hAnsi="Times New Roman" w:cs="Times New Roman"/>
          <w:caps/>
          <w:sz w:val="24"/>
          <w:szCs w:val="24"/>
        </w:rPr>
      </w:pPr>
      <w:r w:rsidRPr="00DB384A">
        <w:rPr>
          <w:rFonts w:ascii="Times New Roman" w:hAnsi="Times New Roman" w:cs="Times New Roman"/>
          <w:sz w:val="24"/>
          <w:szCs w:val="24"/>
        </w:rPr>
        <w:t>The integrity</w:t>
      </w:r>
      <w:r w:rsidR="00B6636C" w:rsidRPr="00DB384A">
        <w:rPr>
          <w:rFonts w:ascii="Times New Roman" w:hAnsi="Times New Roman" w:cs="Times New Roman"/>
          <w:sz w:val="24"/>
          <w:szCs w:val="24"/>
        </w:rPr>
        <w:t xml:space="preserve"> and reasonableness</w:t>
      </w:r>
      <w:r w:rsidRPr="00DB384A">
        <w:rPr>
          <w:rFonts w:ascii="Times New Roman" w:hAnsi="Times New Roman" w:cs="Times New Roman"/>
          <w:sz w:val="24"/>
          <w:szCs w:val="24"/>
        </w:rPr>
        <w:t xml:space="preserve"> of the scheme </w:t>
      </w:r>
      <w:r w:rsidR="000023BB">
        <w:rPr>
          <w:rFonts w:ascii="Times New Roman" w:hAnsi="Times New Roman" w:cs="Times New Roman"/>
          <w:sz w:val="24"/>
          <w:szCs w:val="24"/>
        </w:rPr>
        <w:t>should</w:t>
      </w:r>
      <w:r w:rsidR="007F7457">
        <w:rPr>
          <w:rFonts w:ascii="Times New Roman" w:hAnsi="Times New Roman" w:cs="Times New Roman"/>
          <w:sz w:val="24"/>
          <w:szCs w:val="24"/>
        </w:rPr>
        <w:t xml:space="preserve"> be</w:t>
      </w:r>
      <w:r w:rsidR="00522496" w:rsidRPr="00DB384A">
        <w:rPr>
          <w:rFonts w:ascii="Times New Roman" w:hAnsi="Times New Roman" w:cs="Times New Roman"/>
          <w:sz w:val="24"/>
          <w:szCs w:val="24"/>
        </w:rPr>
        <w:t xml:space="preserve"> analyzed </w:t>
      </w:r>
      <w:r w:rsidR="000023BB">
        <w:rPr>
          <w:rFonts w:ascii="Times New Roman" w:hAnsi="Times New Roman" w:cs="Times New Roman"/>
          <w:sz w:val="24"/>
          <w:szCs w:val="24"/>
        </w:rPr>
        <w:t>as part of</w:t>
      </w:r>
      <w:r w:rsidR="00B6636C" w:rsidRPr="00DB384A">
        <w:rPr>
          <w:rFonts w:ascii="Times New Roman" w:hAnsi="Times New Roman" w:cs="Times New Roman"/>
          <w:sz w:val="24"/>
          <w:szCs w:val="24"/>
        </w:rPr>
        <w:t xml:space="preserve"> the</w:t>
      </w:r>
      <w:r w:rsidR="007F7457">
        <w:rPr>
          <w:rFonts w:ascii="Times New Roman" w:hAnsi="Times New Roman" w:cs="Times New Roman"/>
          <w:sz w:val="24"/>
          <w:szCs w:val="24"/>
        </w:rPr>
        <w:t xml:space="preserve"> s. 1 proportionality analysis</w:t>
      </w:r>
    </w:p>
    <w:p w:rsidR="004D47C3" w:rsidRPr="00DB384A" w:rsidRDefault="003C3B18" w:rsidP="004251D7">
      <w:pPr>
        <w:pStyle w:val="FactumBodyL1"/>
        <w:spacing w:after="120"/>
        <w:ind w:left="0" w:firstLine="0"/>
        <w:rPr>
          <w:rFonts w:ascii="Times New Roman" w:hAnsi="Times New Roman" w:cs="Times New Roman"/>
          <w:b/>
          <w:sz w:val="24"/>
          <w:szCs w:val="24"/>
        </w:rPr>
      </w:pPr>
      <w:r>
        <w:rPr>
          <w:rFonts w:ascii="Times New Roman" w:hAnsi="Times New Roman" w:cs="Times New Roman"/>
          <w:sz w:val="24"/>
          <w:szCs w:val="24"/>
        </w:rPr>
        <w:t>W</w:t>
      </w:r>
      <w:r w:rsidR="00243CAF" w:rsidRPr="00DB384A">
        <w:rPr>
          <w:rFonts w:ascii="Times New Roman" w:hAnsi="Times New Roman" w:cs="Times New Roman"/>
          <w:sz w:val="24"/>
          <w:szCs w:val="24"/>
        </w:rPr>
        <w:t>ith</w:t>
      </w:r>
      <w:r w:rsidR="004D47C3" w:rsidRPr="00DB384A">
        <w:rPr>
          <w:rFonts w:ascii="Times New Roman" w:hAnsi="Times New Roman" w:cs="Times New Roman"/>
          <w:sz w:val="24"/>
          <w:szCs w:val="24"/>
        </w:rPr>
        <w:t>out considering</w:t>
      </w:r>
      <w:r w:rsidR="00243CAF" w:rsidRPr="00DB384A">
        <w:rPr>
          <w:rFonts w:ascii="Times New Roman" w:hAnsi="Times New Roman" w:cs="Times New Roman"/>
          <w:sz w:val="24"/>
          <w:szCs w:val="24"/>
        </w:rPr>
        <w:t xml:space="preserve"> </w:t>
      </w:r>
      <w:r w:rsidR="004D47C3" w:rsidRPr="00DB384A">
        <w:rPr>
          <w:rFonts w:ascii="Times New Roman" w:hAnsi="Times New Roman" w:cs="Times New Roman"/>
          <w:sz w:val="24"/>
          <w:szCs w:val="24"/>
        </w:rPr>
        <w:t>the</w:t>
      </w:r>
      <w:r w:rsidR="00243CAF" w:rsidRPr="00DB384A">
        <w:rPr>
          <w:rFonts w:ascii="Times New Roman" w:hAnsi="Times New Roman" w:cs="Times New Roman"/>
          <w:sz w:val="24"/>
          <w:szCs w:val="24"/>
        </w:rPr>
        <w:t xml:space="preserve"> </w:t>
      </w:r>
      <w:r w:rsidR="00F530A4" w:rsidRPr="00DB384A">
        <w:rPr>
          <w:rFonts w:ascii="Times New Roman" w:hAnsi="Times New Roman" w:cs="Times New Roman"/>
          <w:sz w:val="24"/>
          <w:szCs w:val="24"/>
        </w:rPr>
        <w:t>historical disadvantage confronted by Indigenous women,</w:t>
      </w:r>
      <w:r w:rsidR="00243CAF" w:rsidRPr="00DB384A">
        <w:rPr>
          <w:rFonts w:ascii="Times New Roman" w:hAnsi="Times New Roman" w:cs="Times New Roman"/>
          <w:sz w:val="24"/>
          <w:szCs w:val="24"/>
        </w:rPr>
        <w:t xml:space="preserve"> or the real impact of the law</w:t>
      </w:r>
      <w:r>
        <w:rPr>
          <w:rFonts w:ascii="Times New Roman" w:hAnsi="Times New Roman" w:cs="Times New Roman"/>
          <w:sz w:val="24"/>
          <w:szCs w:val="24"/>
        </w:rPr>
        <w:t xml:space="preserve"> and pol</w:t>
      </w:r>
      <w:r w:rsidR="00F43C81">
        <w:rPr>
          <w:rFonts w:ascii="Times New Roman" w:hAnsi="Times New Roman" w:cs="Times New Roman"/>
          <w:sz w:val="24"/>
          <w:szCs w:val="24"/>
        </w:rPr>
        <w:t xml:space="preserve">icy, </w:t>
      </w:r>
      <w:r w:rsidR="00F43C81" w:rsidRPr="00DB384A">
        <w:rPr>
          <w:rFonts w:ascii="Times New Roman" w:hAnsi="Times New Roman" w:cs="Times New Roman"/>
          <w:sz w:val="24"/>
          <w:szCs w:val="24"/>
        </w:rPr>
        <w:t>Stewart J. conclude</w:t>
      </w:r>
      <w:r w:rsidR="00907594">
        <w:rPr>
          <w:rFonts w:ascii="Times New Roman" w:hAnsi="Times New Roman" w:cs="Times New Roman"/>
          <w:sz w:val="24"/>
          <w:szCs w:val="24"/>
        </w:rPr>
        <w:t>d</w:t>
      </w:r>
      <w:r w:rsidR="00F43C81" w:rsidRPr="00DB384A">
        <w:rPr>
          <w:rFonts w:ascii="Times New Roman" w:hAnsi="Times New Roman" w:cs="Times New Roman"/>
          <w:sz w:val="24"/>
          <w:szCs w:val="24"/>
        </w:rPr>
        <w:t xml:space="preserve"> that there ha</w:t>
      </w:r>
      <w:r w:rsidR="00907594">
        <w:rPr>
          <w:rFonts w:ascii="Times New Roman" w:hAnsi="Times New Roman" w:cs="Times New Roman"/>
          <w:sz w:val="24"/>
          <w:szCs w:val="24"/>
        </w:rPr>
        <w:t>d</w:t>
      </w:r>
      <w:r w:rsidR="00F43C81" w:rsidRPr="00DB384A">
        <w:rPr>
          <w:rFonts w:ascii="Times New Roman" w:hAnsi="Times New Roman" w:cs="Times New Roman"/>
          <w:sz w:val="24"/>
          <w:szCs w:val="24"/>
        </w:rPr>
        <w:t xml:space="preserve"> been no violation of s. 15(1)</w:t>
      </w:r>
      <w:r w:rsidR="00F43C81">
        <w:rPr>
          <w:rFonts w:ascii="Times New Roman" w:hAnsi="Times New Roman" w:cs="Times New Roman"/>
          <w:sz w:val="24"/>
          <w:szCs w:val="24"/>
        </w:rPr>
        <w:t>.</w:t>
      </w:r>
      <w:r w:rsidR="00F43C81" w:rsidRPr="00DB384A">
        <w:rPr>
          <w:rFonts w:ascii="Times New Roman" w:hAnsi="Times New Roman" w:cs="Times New Roman"/>
          <w:sz w:val="24"/>
          <w:szCs w:val="24"/>
        </w:rPr>
        <w:t xml:space="preserve"> </w:t>
      </w:r>
      <w:r w:rsidR="00AB6646">
        <w:rPr>
          <w:rFonts w:ascii="Times New Roman" w:hAnsi="Times New Roman" w:cs="Times New Roman"/>
          <w:sz w:val="24"/>
          <w:szCs w:val="24"/>
        </w:rPr>
        <w:t>Her</w:t>
      </w:r>
      <w:r w:rsidR="004D47C3" w:rsidRPr="00DB384A">
        <w:rPr>
          <w:rFonts w:ascii="Times New Roman" w:hAnsi="Times New Roman" w:cs="Times New Roman"/>
          <w:sz w:val="24"/>
          <w:szCs w:val="24"/>
        </w:rPr>
        <w:t xml:space="preserve"> conclusion</w:t>
      </w:r>
      <w:r w:rsidR="00243CAF" w:rsidRPr="00DB384A">
        <w:rPr>
          <w:rFonts w:ascii="Times New Roman" w:hAnsi="Times New Roman" w:cs="Times New Roman"/>
          <w:sz w:val="24"/>
          <w:szCs w:val="24"/>
        </w:rPr>
        <w:t xml:space="preserve"> </w:t>
      </w:r>
      <w:r w:rsidR="00A0673D" w:rsidRPr="00DB384A">
        <w:rPr>
          <w:rFonts w:ascii="Times New Roman" w:hAnsi="Times New Roman" w:cs="Times New Roman"/>
          <w:sz w:val="24"/>
          <w:szCs w:val="24"/>
        </w:rPr>
        <w:t>rest</w:t>
      </w:r>
      <w:r w:rsidR="00907594">
        <w:rPr>
          <w:rFonts w:ascii="Times New Roman" w:hAnsi="Times New Roman" w:cs="Times New Roman"/>
          <w:sz w:val="24"/>
          <w:szCs w:val="24"/>
        </w:rPr>
        <w:t>ed</w:t>
      </w:r>
      <w:r w:rsidR="001F7730" w:rsidRPr="00DB384A">
        <w:rPr>
          <w:rFonts w:ascii="Times New Roman" w:hAnsi="Times New Roman" w:cs="Times New Roman"/>
          <w:sz w:val="24"/>
          <w:szCs w:val="24"/>
        </w:rPr>
        <w:t xml:space="preserve"> prim</w:t>
      </w:r>
      <w:r w:rsidR="004D47C3" w:rsidRPr="00DB384A">
        <w:rPr>
          <w:rFonts w:ascii="Times New Roman" w:hAnsi="Times New Roman" w:cs="Times New Roman"/>
          <w:sz w:val="24"/>
          <w:szCs w:val="24"/>
        </w:rPr>
        <w:t>arily on her view</w:t>
      </w:r>
      <w:r w:rsidR="002F5BB0" w:rsidRPr="00DB384A">
        <w:rPr>
          <w:rFonts w:ascii="Times New Roman" w:hAnsi="Times New Roman" w:cs="Times New Roman"/>
          <w:sz w:val="24"/>
          <w:szCs w:val="24"/>
        </w:rPr>
        <w:t xml:space="preserve"> that</w:t>
      </w:r>
      <w:r w:rsidR="00A0673D" w:rsidRPr="00DB384A">
        <w:rPr>
          <w:rFonts w:ascii="Times New Roman" w:hAnsi="Times New Roman" w:cs="Times New Roman"/>
          <w:sz w:val="24"/>
          <w:szCs w:val="24"/>
        </w:rPr>
        <w:t xml:space="preserve"> </w:t>
      </w:r>
      <w:r w:rsidR="001F7730" w:rsidRPr="00DB384A">
        <w:rPr>
          <w:rFonts w:ascii="Times New Roman" w:hAnsi="Times New Roman" w:cs="Times New Roman"/>
          <w:sz w:val="24"/>
          <w:szCs w:val="24"/>
        </w:rPr>
        <w:t xml:space="preserve">alternatives to the Policy </w:t>
      </w:r>
      <w:r w:rsidR="00976A6F" w:rsidRPr="00DB384A">
        <w:rPr>
          <w:rFonts w:ascii="Times New Roman" w:hAnsi="Times New Roman" w:cs="Times New Roman"/>
          <w:sz w:val="24"/>
          <w:szCs w:val="24"/>
        </w:rPr>
        <w:t>may compromise</w:t>
      </w:r>
      <w:r w:rsidR="0054434C" w:rsidRPr="00DB384A">
        <w:rPr>
          <w:rFonts w:ascii="Times New Roman" w:hAnsi="Times New Roman" w:cs="Times New Roman"/>
          <w:sz w:val="24"/>
          <w:szCs w:val="24"/>
        </w:rPr>
        <w:t xml:space="preserve"> </w:t>
      </w:r>
      <w:r w:rsidR="001F7730" w:rsidRPr="00DB384A">
        <w:rPr>
          <w:rFonts w:ascii="Times New Roman" w:hAnsi="Times New Roman" w:cs="Times New Roman"/>
          <w:sz w:val="24"/>
          <w:szCs w:val="24"/>
        </w:rPr>
        <w:t>the integ</w:t>
      </w:r>
      <w:r w:rsidR="0054434C" w:rsidRPr="00DB384A">
        <w:rPr>
          <w:rFonts w:ascii="Times New Roman" w:hAnsi="Times New Roman" w:cs="Times New Roman"/>
          <w:sz w:val="24"/>
          <w:szCs w:val="24"/>
        </w:rPr>
        <w:t>rity of the registration scheme.</w:t>
      </w:r>
      <w:r w:rsidR="0054434C" w:rsidRPr="00DB384A">
        <w:rPr>
          <w:rStyle w:val="FootnoteReference"/>
          <w:rFonts w:ascii="Times New Roman" w:hAnsi="Times New Roman" w:cs="Times New Roman"/>
          <w:sz w:val="24"/>
          <w:szCs w:val="24"/>
        </w:rPr>
        <w:footnoteReference w:id="55"/>
      </w:r>
      <w:r w:rsidR="0054434C" w:rsidRPr="00DB384A">
        <w:rPr>
          <w:rFonts w:ascii="Times New Roman" w:hAnsi="Times New Roman" w:cs="Times New Roman"/>
          <w:b/>
          <w:sz w:val="24"/>
          <w:szCs w:val="24"/>
        </w:rPr>
        <w:t xml:space="preserve">  </w:t>
      </w:r>
    </w:p>
    <w:p w:rsidR="001F7730" w:rsidRPr="00DB384A" w:rsidRDefault="00976A6F" w:rsidP="00540E63">
      <w:pPr>
        <w:pStyle w:val="FactumBodyL1"/>
        <w:spacing w:after="0"/>
        <w:ind w:left="0" w:firstLine="0"/>
        <w:rPr>
          <w:rFonts w:ascii="Times New Roman" w:hAnsi="Times New Roman" w:cs="Times New Roman"/>
          <w:b/>
          <w:sz w:val="24"/>
          <w:szCs w:val="24"/>
        </w:rPr>
      </w:pPr>
      <w:r w:rsidRPr="00DB384A">
        <w:rPr>
          <w:rFonts w:ascii="Times New Roman" w:hAnsi="Times New Roman" w:cs="Times New Roman"/>
          <w:sz w:val="24"/>
          <w:szCs w:val="24"/>
        </w:rPr>
        <w:t xml:space="preserve">Even </w:t>
      </w:r>
      <w:r w:rsidR="009A4C02">
        <w:rPr>
          <w:rFonts w:ascii="Times New Roman" w:hAnsi="Times New Roman" w:cs="Times New Roman"/>
          <w:sz w:val="24"/>
          <w:szCs w:val="24"/>
        </w:rPr>
        <w:t>if one accepts this conclusion as valid</w:t>
      </w:r>
      <w:r w:rsidR="0054434C" w:rsidRPr="00DB384A">
        <w:rPr>
          <w:rFonts w:ascii="Times New Roman" w:hAnsi="Times New Roman" w:cs="Times New Roman"/>
          <w:sz w:val="24"/>
          <w:szCs w:val="24"/>
        </w:rPr>
        <w:t>,</w:t>
      </w:r>
      <w:r w:rsidR="009A4C02">
        <w:rPr>
          <w:rFonts w:ascii="Times New Roman" w:hAnsi="Times New Roman" w:cs="Times New Roman"/>
          <w:sz w:val="24"/>
          <w:szCs w:val="24"/>
        </w:rPr>
        <w:t xml:space="preserve"> </w:t>
      </w:r>
      <w:r w:rsidR="0054434C" w:rsidRPr="00DB384A">
        <w:rPr>
          <w:rFonts w:ascii="Times New Roman" w:hAnsi="Times New Roman" w:cs="Times New Roman"/>
          <w:sz w:val="24"/>
          <w:szCs w:val="24"/>
        </w:rPr>
        <w:t xml:space="preserve">it has no </w:t>
      </w:r>
      <w:r w:rsidR="003C3B18">
        <w:rPr>
          <w:rFonts w:ascii="Times New Roman" w:hAnsi="Times New Roman" w:cs="Times New Roman"/>
          <w:sz w:val="24"/>
          <w:szCs w:val="24"/>
        </w:rPr>
        <w:t>place in the s. 15(1) analysis</w:t>
      </w:r>
      <w:r w:rsidR="00907594">
        <w:rPr>
          <w:rFonts w:ascii="Times New Roman" w:hAnsi="Times New Roman" w:cs="Times New Roman"/>
          <w:sz w:val="24"/>
          <w:szCs w:val="24"/>
        </w:rPr>
        <w:t>:</w:t>
      </w:r>
    </w:p>
    <w:p w:rsidR="000539BD" w:rsidRPr="00DB384A" w:rsidRDefault="002F5BB0" w:rsidP="0066567D">
      <w:pPr>
        <w:pStyle w:val="Block1"/>
        <w:spacing w:after="240" w:line="240" w:lineRule="auto"/>
        <w:jc w:val="both"/>
        <w:rPr>
          <w:sz w:val="24"/>
          <w:szCs w:val="24"/>
        </w:rPr>
      </w:pPr>
      <w:proofErr w:type="gramStart"/>
      <w:r w:rsidRPr="00DB384A">
        <w:rPr>
          <w:sz w:val="24"/>
          <w:szCs w:val="24"/>
        </w:rPr>
        <w:t xml:space="preserve">An emphasis [during the </w:t>
      </w:r>
      <w:r w:rsidR="009A4C02">
        <w:rPr>
          <w:sz w:val="24"/>
          <w:szCs w:val="24"/>
        </w:rPr>
        <w:t>s 15(1) analysis</w:t>
      </w:r>
      <w:r w:rsidRPr="00DB384A">
        <w:rPr>
          <w:sz w:val="24"/>
          <w:szCs w:val="24"/>
        </w:rPr>
        <w:t xml:space="preserve">] </w:t>
      </w:r>
      <w:r w:rsidR="00083553" w:rsidRPr="00DB384A">
        <w:rPr>
          <w:sz w:val="24"/>
          <w:szCs w:val="24"/>
        </w:rPr>
        <w:t xml:space="preserve">on whether the claimant group’s exclusion was well motivated or reasonable is inconsistent with this substantive equality approach to </w:t>
      </w:r>
      <w:hyperlink r:id="rId15" w:anchor="sec15subsec1_smooth" w:history="1">
        <w:r w:rsidR="00083553" w:rsidRPr="00DB384A">
          <w:rPr>
            <w:sz w:val="24"/>
            <w:szCs w:val="24"/>
          </w:rPr>
          <w:t>s. 15(1)</w:t>
        </w:r>
      </w:hyperlink>
      <w:r w:rsidR="00083553" w:rsidRPr="00DB384A">
        <w:rPr>
          <w:sz w:val="24"/>
          <w:szCs w:val="24"/>
        </w:rPr>
        <w:t xml:space="preserve"> since it redirects the analysis from the </w:t>
      </w:r>
      <w:r w:rsidR="00083553" w:rsidRPr="00DB384A">
        <w:rPr>
          <w:i/>
          <w:iCs/>
          <w:sz w:val="24"/>
          <w:szCs w:val="24"/>
        </w:rPr>
        <w:t>impact</w:t>
      </w:r>
      <w:r w:rsidR="00083553" w:rsidRPr="00DB384A">
        <w:rPr>
          <w:sz w:val="24"/>
          <w:szCs w:val="24"/>
        </w:rPr>
        <w:t xml:space="preserve"> of the distinction on the affected individual or group to the legislature’s </w:t>
      </w:r>
      <w:r w:rsidR="00083553" w:rsidRPr="00DB384A">
        <w:rPr>
          <w:i/>
          <w:iCs/>
          <w:sz w:val="24"/>
          <w:szCs w:val="24"/>
        </w:rPr>
        <w:t xml:space="preserve">intent </w:t>
      </w:r>
      <w:r w:rsidR="00083553" w:rsidRPr="00DB384A">
        <w:rPr>
          <w:sz w:val="24"/>
          <w:szCs w:val="24"/>
        </w:rPr>
        <w:t xml:space="preserve">or </w:t>
      </w:r>
      <w:r w:rsidR="00083553" w:rsidRPr="00DB384A">
        <w:rPr>
          <w:i/>
          <w:iCs/>
          <w:sz w:val="24"/>
          <w:szCs w:val="24"/>
        </w:rPr>
        <w:t>purpose</w:t>
      </w:r>
      <w:r w:rsidR="00067CA5">
        <w:rPr>
          <w:sz w:val="24"/>
          <w:szCs w:val="24"/>
        </w:rPr>
        <w:t xml:space="preserve"> [</w:t>
      </w:r>
      <w:r w:rsidR="00BC5A64" w:rsidRPr="00DB384A">
        <w:rPr>
          <w:sz w:val="24"/>
          <w:szCs w:val="24"/>
        </w:rPr>
        <w:t>…</w:t>
      </w:r>
      <w:r w:rsidR="00067CA5">
        <w:rPr>
          <w:sz w:val="24"/>
          <w:szCs w:val="24"/>
        </w:rPr>
        <w:t>]</w:t>
      </w:r>
      <w:r w:rsidR="00BC5A64" w:rsidRPr="00DB384A">
        <w:rPr>
          <w:sz w:val="24"/>
          <w:szCs w:val="24"/>
        </w:rPr>
        <w:t xml:space="preserve"> </w:t>
      </w:r>
      <w:r w:rsidR="00083553" w:rsidRPr="00DB384A">
        <w:rPr>
          <w:sz w:val="24"/>
          <w:szCs w:val="24"/>
        </w:rPr>
        <w:t xml:space="preserve">Assessment of legislative purpose is an important part of a </w:t>
      </w:r>
      <w:hyperlink r:id="rId16" w:history="1">
        <w:r w:rsidR="00083553" w:rsidRPr="00DB384A">
          <w:rPr>
            <w:i/>
            <w:iCs/>
            <w:sz w:val="24"/>
            <w:szCs w:val="24"/>
          </w:rPr>
          <w:t>Charter</w:t>
        </w:r>
      </w:hyperlink>
      <w:r w:rsidR="00083553" w:rsidRPr="00DB384A">
        <w:rPr>
          <w:sz w:val="24"/>
          <w:szCs w:val="24"/>
        </w:rPr>
        <w:t xml:space="preserve"> analysis, but it is conducted under </w:t>
      </w:r>
      <w:hyperlink r:id="rId17" w:anchor="sec1_smooth" w:history="1">
        <w:r w:rsidR="00083553" w:rsidRPr="00DB384A">
          <w:rPr>
            <w:sz w:val="24"/>
            <w:szCs w:val="24"/>
          </w:rPr>
          <w:t>s. 1</w:t>
        </w:r>
      </w:hyperlink>
      <w:r w:rsidR="00083553" w:rsidRPr="00DB384A">
        <w:rPr>
          <w:sz w:val="24"/>
          <w:szCs w:val="24"/>
        </w:rPr>
        <w:t xml:space="preserve"> once the burden has shifted to the state to justify the reas</w:t>
      </w:r>
      <w:r w:rsidR="002F7C9A" w:rsidRPr="00DB384A">
        <w:rPr>
          <w:sz w:val="24"/>
          <w:szCs w:val="24"/>
        </w:rPr>
        <w:t>onableness of the infringement.</w:t>
      </w:r>
      <w:r w:rsidR="00BC5A64" w:rsidRPr="00DB384A">
        <w:rPr>
          <w:rStyle w:val="FootnoteReference"/>
          <w:rFonts w:ascii="Times New Roman" w:hAnsi="Times New Roman" w:cs="Times New Roman"/>
          <w:sz w:val="24"/>
          <w:szCs w:val="24"/>
        </w:rPr>
        <w:footnoteReference w:id="56"/>
      </w:r>
      <w:proofErr w:type="gramEnd"/>
    </w:p>
    <w:p w:rsidR="00C665E2" w:rsidRPr="00DB384A" w:rsidRDefault="0054434C" w:rsidP="004251D7">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lastRenderedPageBreak/>
        <w:t xml:space="preserve">The burden accordingly lies on </w:t>
      </w:r>
      <w:r w:rsidR="000F7D6F" w:rsidRPr="00DB384A">
        <w:rPr>
          <w:rFonts w:ascii="Times New Roman" w:hAnsi="Times New Roman" w:cs="Times New Roman"/>
          <w:sz w:val="24"/>
          <w:szCs w:val="24"/>
        </w:rPr>
        <w:t>Canada</w:t>
      </w:r>
      <w:r w:rsidRPr="00DB384A">
        <w:rPr>
          <w:rFonts w:ascii="Times New Roman" w:hAnsi="Times New Roman" w:cs="Times New Roman"/>
          <w:sz w:val="24"/>
          <w:szCs w:val="24"/>
        </w:rPr>
        <w:t xml:space="preserve"> to demonstrate that the </w:t>
      </w:r>
      <w:r w:rsidR="00673B42" w:rsidRPr="00DB384A">
        <w:rPr>
          <w:rFonts w:ascii="Times New Roman" w:hAnsi="Times New Roman" w:cs="Times New Roman"/>
          <w:sz w:val="24"/>
          <w:szCs w:val="24"/>
        </w:rPr>
        <w:t xml:space="preserve">discriminatory </w:t>
      </w:r>
      <w:r w:rsidRPr="00DB384A">
        <w:rPr>
          <w:rFonts w:ascii="Times New Roman" w:hAnsi="Times New Roman" w:cs="Times New Roman"/>
          <w:sz w:val="24"/>
          <w:szCs w:val="24"/>
        </w:rPr>
        <w:t>disadvantage imposed</w:t>
      </w:r>
      <w:r w:rsidR="007F7457">
        <w:rPr>
          <w:rFonts w:ascii="Times New Roman" w:hAnsi="Times New Roman" w:cs="Times New Roman"/>
          <w:sz w:val="24"/>
          <w:szCs w:val="24"/>
        </w:rPr>
        <w:t xml:space="preserve"> on Indigenous women under s. 6 as implemented by the </w:t>
      </w:r>
      <w:r w:rsidRPr="00DB384A">
        <w:rPr>
          <w:rFonts w:ascii="Times New Roman" w:hAnsi="Times New Roman" w:cs="Times New Roman"/>
          <w:sz w:val="24"/>
          <w:szCs w:val="24"/>
        </w:rPr>
        <w:t xml:space="preserve">Policy is justified </w:t>
      </w:r>
      <w:r w:rsidR="000F7D6F" w:rsidRPr="00DB384A">
        <w:rPr>
          <w:rFonts w:ascii="Times New Roman" w:hAnsi="Times New Roman" w:cs="Times New Roman"/>
          <w:sz w:val="24"/>
          <w:szCs w:val="24"/>
        </w:rPr>
        <w:t>under the</w:t>
      </w:r>
      <w:r w:rsidRPr="00DB384A">
        <w:rPr>
          <w:rFonts w:ascii="Times New Roman" w:hAnsi="Times New Roman" w:cs="Times New Roman"/>
          <w:sz w:val="24"/>
          <w:szCs w:val="24"/>
        </w:rPr>
        <w:t xml:space="preserve"> </w:t>
      </w:r>
      <w:r w:rsidRPr="00DB384A">
        <w:rPr>
          <w:rFonts w:ascii="Times New Roman" w:hAnsi="Times New Roman" w:cs="Times New Roman"/>
          <w:i/>
          <w:sz w:val="24"/>
          <w:szCs w:val="24"/>
        </w:rPr>
        <w:t xml:space="preserve">Oakes </w:t>
      </w:r>
      <w:r w:rsidRPr="00DB384A">
        <w:rPr>
          <w:rFonts w:ascii="Times New Roman" w:hAnsi="Times New Roman" w:cs="Times New Roman"/>
          <w:sz w:val="24"/>
          <w:szCs w:val="24"/>
        </w:rPr>
        <w:t>framework.</w:t>
      </w:r>
      <w:r w:rsidR="0032740C" w:rsidRPr="00DB384A">
        <w:rPr>
          <w:rStyle w:val="FootnoteReference"/>
          <w:rFonts w:ascii="Times New Roman" w:hAnsi="Times New Roman" w:cs="Times New Roman"/>
          <w:sz w:val="24"/>
          <w:szCs w:val="24"/>
        </w:rPr>
        <w:footnoteReference w:id="57"/>
      </w:r>
      <w:r w:rsidRPr="00DB384A">
        <w:rPr>
          <w:rFonts w:ascii="Times New Roman" w:hAnsi="Times New Roman" w:cs="Times New Roman"/>
          <w:sz w:val="24"/>
          <w:szCs w:val="24"/>
        </w:rPr>
        <w:t xml:space="preserve"> </w:t>
      </w:r>
      <w:r w:rsidR="008C43C1" w:rsidRPr="00DB384A">
        <w:rPr>
          <w:rFonts w:ascii="Times New Roman" w:hAnsi="Times New Roman" w:cs="Times New Roman"/>
          <w:sz w:val="24"/>
          <w:szCs w:val="24"/>
        </w:rPr>
        <w:t xml:space="preserve">In this regard, it is worth noting that the </w:t>
      </w:r>
      <w:r w:rsidR="00C665E2" w:rsidRPr="00DB384A">
        <w:rPr>
          <w:rFonts w:ascii="Times New Roman" w:hAnsi="Times New Roman" w:cs="Times New Roman"/>
          <w:sz w:val="24"/>
          <w:szCs w:val="24"/>
        </w:rPr>
        <w:t>integri</w:t>
      </w:r>
      <w:r w:rsidR="00577B5D" w:rsidRPr="00DB384A">
        <w:rPr>
          <w:rFonts w:ascii="Times New Roman" w:hAnsi="Times New Roman" w:cs="Times New Roman"/>
          <w:sz w:val="24"/>
          <w:szCs w:val="24"/>
        </w:rPr>
        <w:t xml:space="preserve">ty of the registration scheme </w:t>
      </w:r>
      <w:r w:rsidR="00B53EFF">
        <w:rPr>
          <w:rFonts w:ascii="Times New Roman" w:hAnsi="Times New Roman" w:cs="Times New Roman"/>
          <w:sz w:val="24"/>
          <w:szCs w:val="24"/>
        </w:rPr>
        <w:t xml:space="preserve">survived </w:t>
      </w:r>
      <w:r w:rsidR="008C43C1" w:rsidRPr="00DB384A">
        <w:rPr>
          <w:rFonts w:ascii="Times New Roman" w:hAnsi="Times New Roman" w:cs="Times New Roman"/>
          <w:sz w:val="24"/>
          <w:szCs w:val="24"/>
        </w:rPr>
        <w:t>between 1951 and 1985</w:t>
      </w:r>
      <w:r w:rsidR="004D47C3" w:rsidRPr="00DB384A">
        <w:rPr>
          <w:rFonts w:ascii="Times New Roman" w:hAnsi="Times New Roman" w:cs="Times New Roman"/>
          <w:sz w:val="24"/>
          <w:szCs w:val="24"/>
        </w:rPr>
        <w:t>,</w:t>
      </w:r>
      <w:r w:rsidR="008C43C1" w:rsidRPr="00DB384A">
        <w:rPr>
          <w:rFonts w:ascii="Times New Roman" w:hAnsi="Times New Roman" w:cs="Times New Roman"/>
          <w:sz w:val="24"/>
          <w:szCs w:val="24"/>
        </w:rPr>
        <w:t xml:space="preserve"> </w:t>
      </w:r>
      <w:r w:rsidR="00F63763" w:rsidRPr="00DB384A">
        <w:rPr>
          <w:rFonts w:ascii="Times New Roman" w:hAnsi="Times New Roman" w:cs="Times New Roman"/>
          <w:sz w:val="24"/>
          <w:szCs w:val="24"/>
        </w:rPr>
        <w:t>when there was a</w:t>
      </w:r>
      <w:r w:rsidR="008C43C1" w:rsidRPr="00DB384A">
        <w:rPr>
          <w:rFonts w:ascii="Times New Roman" w:hAnsi="Times New Roman" w:cs="Times New Roman"/>
          <w:sz w:val="24"/>
          <w:szCs w:val="24"/>
        </w:rPr>
        <w:t xml:space="preserve"> rebuttable presumption that the illegitimate children of Registered Indian women </w:t>
      </w:r>
      <w:proofErr w:type="gramStart"/>
      <w:r w:rsidR="008C43C1" w:rsidRPr="00DB384A">
        <w:rPr>
          <w:rFonts w:ascii="Times New Roman" w:hAnsi="Times New Roman" w:cs="Times New Roman"/>
          <w:sz w:val="24"/>
          <w:szCs w:val="24"/>
        </w:rPr>
        <w:t>w</w:t>
      </w:r>
      <w:r w:rsidR="00577B5D" w:rsidRPr="00DB384A">
        <w:rPr>
          <w:rFonts w:ascii="Times New Roman" w:hAnsi="Times New Roman" w:cs="Times New Roman"/>
          <w:sz w:val="24"/>
          <w:szCs w:val="24"/>
        </w:rPr>
        <w:t>ere entitled to be registered</w:t>
      </w:r>
      <w:proofErr w:type="gramEnd"/>
      <w:r w:rsidR="00577B5D" w:rsidRPr="00DB384A">
        <w:rPr>
          <w:rFonts w:ascii="Times New Roman" w:hAnsi="Times New Roman" w:cs="Times New Roman"/>
          <w:sz w:val="24"/>
          <w:szCs w:val="24"/>
        </w:rPr>
        <w:t>.</w:t>
      </w:r>
      <w:r w:rsidR="008C43C1" w:rsidRPr="00DB384A">
        <w:rPr>
          <w:rFonts w:ascii="Times New Roman" w:hAnsi="Times New Roman" w:cs="Times New Roman"/>
          <w:sz w:val="24"/>
          <w:szCs w:val="24"/>
        </w:rPr>
        <w:t xml:space="preserve"> </w:t>
      </w:r>
      <w:r w:rsidR="00E20522">
        <w:rPr>
          <w:rFonts w:ascii="Times New Roman" w:hAnsi="Times New Roman" w:cs="Times New Roman"/>
          <w:sz w:val="24"/>
          <w:szCs w:val="24"/>
        </w:rPr>
        <w:t>I</w:t>
      </w:r>
      <w:r w:rsidR="00C665E2" w:rsidRPr="00DB384A">
        <w:rPr>
          <w:rFonts w:ascii="Times New Roman" w:hAnsi="Times New Roman" w:cs="Times New Roman"/>
          <w:sz w:val="24"/>
          <w:szCs w:val="24"/>
        </w:rPr>
        <w:t>t</w:t>
      </w:r>
      <w:r w:rsidR="008C680B">
        <w:rPr>
          <w:rFonts w:ascii="Times New Roman" w:hAnsi="Times New Roman" w:cs="Times New Roman"/>
          <w:sz w:val="24"/>
          <w:szCs w:val="24"/>
        </w:rPr>
        <w:t xml:space="preserve"> is</w:t>
      </w:r>
      <w:r w:rsidR="00E20522">
        <w:rPr>
          <w:rFonts w:ascii="Times New Roman" w:hAnsi="Times New Roman" w:cs="Times New Roman"/>
          <w:sz w:val="24"/>
          <w:szCs w:val="24"/>
        </w:rPr>
        <w:t xml:space="preserve"> therefore </w:t>
      </w:r>
      <w:r w:rsidR="000F49AD" w:rsidRPr="00DB384A">
        <w:rPr>
          <w:rFonts w:ascii="Times New Roman" w:hAnsi="Times New Roman" w:cs="Times New Roman"/>
          <w:sz w:val="24"/>
          <w:szCs w:val="24"/>
        </w:rPr>
        <w:t xml:space="preserve">unlikely </w:t>
      </w:r>
      <w:r w:rsidR="003279FE" w:rsidRPr="00DB384A">
        <w:rPr>
          <w:rFonts w:ascii="Times New Roman" w:hAnsi="Times New Roman" w:cs="Times New Roman"/>
          <w:sz w:val="24"/>
          <w:szCs w:val="24"/>
        </w:rPr>
        <w:t>the curr</w:t>
      </w:r>
      <w:r w:rsidR="00F63763" w:rsidRPr="00DB384A">
        <w:rPr>
          <w:rFonts w:ascii="Times New Roman" w:hAnsi="Times New Roman" w:cs="Times New Roman"/>
          <w:sz w:val="24"/>
          <w:szCs w:val="24"/>
        </w:rPr>
        <w:t>ent regime</w:t>
      </w:r>
      <w:r w:rsidR="00E20522">
        <w:rPr>
          <w:rFonts w:ascii="Times New Roman" w:hAnsi="Times New Roman" w:cs="Times New Roman"/>
          <w:sz w:val="24"/>
          <w:szCs w:val="24"/>
        </w:rPr>
        <w:t xml:space="preserve"> – which imposes a new burden on Registered Indian women who cannot</w:t>
      </w:r>
      <w:r w:rsidR="001D6BCF">
        <w:rPr>
          <w:rFonts w:ascii="Times New Roman" w:hAnsi="Times New Roman" w:cs="Times New Roman"/>
          <w:sz w:val="24"/>
          <w:szCs w:val="24"/>
        </w:rPr>
        <w:t>,</w:t>
      </w:r>
      <w:r w:rsidR="00E20522">
        <w:rPr>
          <w:rFonts w:ascii="Times New Roman" w:hAnsi="Times New Roman" w:cs="Times New Roman"/>
          <w:sz w:val="24"/>
          <w:szCs w:val="24"/>
        </w:rPr>
        <w:t xml:space="preserve"> or effectively cannot</w:t>
      </w:r>
      <w:r w:rsidR="001D6BCF">
        <w:rPr>
          <w:rFonts w:ascii="Times New Roman" w:hAnsi="Times New Roman" w:cs="Times New Roman"/>
          <w:sz w:val="24"/>
          <w:szCs w:val="24"/>
        </w:rPr>
        <w:t>,</w:t>
      </w:r>
      <w:r w:rsidR="00E20522">
        <w:rPr>
          <w:rFonts w:ascii="Times New Roman" w:hAnsi="Times New Roman" w:cs="Times New Roman"/>
          <w:sz w:val="24"/>
          <w:szCs w:val="24"/>
        </w:rPr>
        <w:t xml:space="preserve"> </w:t>
      </w:r>
      <w:r w:rsidR="00D734BF">
        <w:rPr>
          <w:rFonts w:ascii="Times New Roman" w:hAnsi="Times New Roman" w:cs="Times New Roman"/>
          <w:sz w:val="24"/>
          <w:szCs w:val="24"/>
        </w:rPr>
        <w:t>prove</w:t>
      </w:r>
      <w:r w:rsidR="00E20522">
        <w:rPr>
          <w:rFonts w:ascii="Times New Roman" w:hAnsi="Times New Roman" w:cs="Times New Roman"/>
          <w:sz w:val="24"/>
          <w:szCs w:val="24"/>
        </w:rPr>
        <w:t xml:space="preserve"> the paternity of their children – could </w:t>
      </w:r>
      <w:r w:rsidR="00C665E2" w:rsidRPr="00DB384A">
        <w:rPr>
          <w:rFonts w:ascii="Times New Roman" w:hAnsi="Times New Roman" w:cs="Times New Roman"/>
          <w:sz w:val="24"/>
          <w:szCs w:val="24"/>
        </w:rPr>
        <w:t xml:space="preserve">survive the minimal impairment stage of the </w:t>
      </w:r>
      <w:r w:rsidR="00C665E2" w:rsidRPr="00DB384A">
        <w:rPr>
          <w:rFonts w:ascii="Times New Roman" w:hAnsi="Times New Roman" w:cs="Times New Roman"/>
          <w:i/>
          <w:sz w:val="24"/>
          <w:szCs w:val="24"/>
        </w:rPr>
        <w:t>Oakes</w:t>
      </w:r>
      <w:r w:rsidR="00C665E2" w:rsidRPr="00DB384A">
        <w:rPr>
          <w:rFonts w:ascii="Times New Roman" w:hAnsi="Times New Roman" w:cs="Times New Roman"/>
          <w:sz w:val="24"/>
          <w:szCs w:val="24"/>
        </w:rPr>
        <w:t xml:space="preserve"> test.</w:t>
      </w:r>
    </w:p>
    <w:p w:rsidR="00840C8A" w:rsidRPr="00DB384A" w:rsidRDefault="0026272E" w:rsidP="009A4E07">
      <w:pPr>
        <w:pStyle w:val="FactumHeadingL2"/>
        <w:spacing w:after="240"/>
        <w:rPr>
          <w:rFonts w:ascii="Times New Roman" w:hAnsi="Times New Roman" w:cs="Times New Roman"/>
          <w:i/>
          <w:sz w:val="24"/>
          <w:szCs w:val="24"/>
        </w:rPr>
      </w:pPr>
      <w:r>
        <w:rPr>
          <w:rFonts w:ascii="Times New Roman" w:hAnsi="Times New Roman" w:cs="Times New Roman"/>
          <w:sz w:val="24"/>
          <w:szCs w:val="24"/>
        </w:rPr>
        <w:t>To remedy this discrimination, a positive presumption of paternity may be applied under s. 6</w:t>
      </w:r>
    </w:p>
    <w:p w:rsidR="00A81F83" w:rsidRPr="009F4D7A" w:rsidRDefault="000F7D6F" w:rsidP="009F4D7A">
      <w:pPr>
        <w:pStyle w:val="FactumBodyL1"/>
        <w:spacing w:after="120"/>
        <w:ind w:left="0" w:firstLine="0"/>
        <w:rPr>
          <w:rFonts w:ascii="Times New Roman" w:hAnsi="Times New Roman" w:cs="Times New Roman"/>
          <w:sz w:val="24"/>
          <w:szCs w:val="24"/>
        </w:rPr>
      </w:pPr>
      <w:r w:rsidRPr="009E7E80">
        <w:rPr>
          <w:rFonts w:ascii="Times New Roman" w:hAnsi="Times New Roman" w:cs="Times New Roman"/>
          <w:sz w:val="24"/>
          <w:szCs w:val="24"/>
        </w:rPr>
        <w:t>Section</w:t>
      </w:r>
      <w:r w:rsidR="00ED3C64" w:rsidRPr="009E7E80">
        <w:rPr>
          <w:rFonts w:ascii="Times New Roman" w:hAnsi="Times New Roman" w:cs="Times New Roman"/>
          <w:sz w:val="24"/>
          <w:szCs w:val="24"/>
        </w:rPr>
        <w:t xml:space="preserve"> 6 of the</w:t>
      </w:r>
      <w:r w:rsidR="003E2073" w:rsidRPr="009E7E80">
        <w:rPr>
          <w:rFonts w:ascii="Times New Roman" w:hAnsi="Times New Roman" w:cs="Times New Roman"/>
          <w:sz w:val="24"/>
          <w:szCs w:val="24"/>
        </w:rPr>
        <w:t xml:space="preserve"> </w:t>
      </w:r>
      <w:r w:rsidR="003E2073" w:rsidRPr="009E7E80">
        <w:rPr>
          <w:rFonts w:ascii="Times New Roman" w:hAnsi="Times New Roman" w:cs="Times New Roman"/>
          <w:i/>
          <w:sz w:val="24"/>
          <w:szCs w:val="24"/>
        </w:rPr>
        <w:t>Indian Act</w:t>
      </w:r>
      <w:r w:rsidR="00840C8A" w:rsidRPr="009E7E80">
        <w:rPr>
          <w:rFonts w:ascii="Times New Roman" w:hAnsi="Times New Roman" w:cs="Times New Roman"/>
          <w:sz w:val="24"/>
          <w:szCs w:val="24"/>
        </w:rPr>
        <w:t xml:space="preserve"> is </w:t>
      </w:r>
      <w:r w:rsidR="00DC1464" w:rsidRPr="009E7E80">
        <w:rPr>
          <w:rFonts w:ascii="Times New Roman" w:hAnsi="Times New Roman" w:cs="Times New Roman"/>
          <w:sz w:val="24"/>
          <w:szCs w:val="24"/>
        </w:rPr>
        <w:t xml:space="preserve">silent about who counts as a </w:t>
      </w:r>
      <w:r w:rsidR="006F602C" w:rsidRPr="009E7E80">
        <w:rPr>
          <w:rFonts w:ascii="Times New Roman" w:hAnsi="Times New Roman" w:cs="Times New Roman"/>
          <w:sz w:val="24"/>
          <w:szCs w:val="24"/>
        </w:rPr>
        <w:t>pa</w:t>
      </w:r>
      <w:r w:rsidR="00DC1464" w:rsidRPr="009E7E80">
        <w:rPr>
          <w:rFonts w:ascii="Times New Roman" w:hAnsi="Times New Roman" w:cs="Times New Roman"/>
          <w:sz w:val="24"/>
          <w:szCs w:val="24"/>
        </w:rPr>
        <w:t>rent</w:t>
      </w:r>
      <w:r w:rsidR="006F602C" w:rsidRPr="009E7E80">
        <w:rPr>
          <w:rFonts w:ascii="Times New Roman" w:hAnsi="Times New Roman" w:cs="Times New Roman"/>
          <w:sz w:val="24"/>
          <w:szCs w:val="24"/>
        </w:rPr>
        <w:t xml:space="preserve"> or how parentage </w:t>
      </w:r>
      <w:proofErr w:type="gramStart"/>
      <w:r w:rsidR="00E3226B">
        <w:rPr>
          <w:rFonts w:ascii="Times New Roman" w:hAnsi="Times New Roman" w:cs="Times New Roman"/>
          <w:sz w:val="24"/>
          <w:szCs w:val="24"/>
        </w:rPr>
        <w:t>must</w:t>
      </w:r>
      <w:r w:rsidR="00096FF7" w:rsidRPr="009E7E80">
        <w:rPr>
          <w:rFonts w:ascii="Times New Roman" w:hAnsi="Times New Roman" w:cs="Times New Roman"/>
          <w:sz w:val="24"/>
          <w:szCs w:val="24"/>
        </w:rPr>
        <w:t xml:space="preserve"> be</w:t>
      </w:r>
      <w:r w:rsidR="006F602C" w:rsidRPr="009E7E80">
        <w:rPr>
          <w:rFonts w:ascii="Times New Roman" w:hAnsi="Times New Roman" w:cs="Times New Roman"/>
          <w:sz w:val="24"/>
          <w:szCs w:val="24"/>
        </w:rPr>
        <w:t xml:space="preserve"> established</w:t>
      </w:r>
      <w:proofErr w:type="gramEnd"/>
      <w:r w:rsidR="001717D6" w:rsidRPr="009E7E80">
        <w:rPr>
          <w:rFonts w:ascii="Times New Roman" w:hAnsi="Times New Roman" w:cs="Times New Roman"/>
          <w:sz w:val="24"/>
          <w:szCs w:val="24"/>
        </w:rPr>
        <w:t xml:space="preserve"> for the purposes of registration</w:t>
      </w:r>
      <w:r w:rsidR="006F602C" w:rsidRPr="009E7E80">
        <w:rPr>
          <w:rFonts w:ascii="Times New Roman" w:hAnsi="Times New Roman" w:cs="Times New Roman"/>
          <w:sz w:val="24"/>
          <w:szCs w:val="24"/>
        </w:rPr>
        <w:t xml:space="preserve">. </w:t>
      </w:r>
      <w:r w:rsidR="00E3226B">
        <w:rPr>
          <w:rFonts w:ascii="Times New Roman" w:hAnsi="Times New Roman" w:cs="Times New Roman"/>
          <w:sz w:val="24"/>
          <w:szCs w:val="24"/>
        </w:rPr>
        <w:t>In</w:t>
      </w:r>
      <w:r w:rsidR="00B10B40" w:rsidRPr="009E7E80">
        <w:rPr>
          <w:rFonts w:ascii="Times New Roman" w:hAnsi="Times New Roman" w:cs="Times New Roman"/>
          <w:sz w:val="24"/>
          <w:szCs w:val="24"/>
        </w:rPr>
        <w:t xml:space="preserve"> the face of this ambiguity</w:t>
      </w:r>
      <w:r w:rsidR="00EE7852" w:rsidRPr="009E7E80">
        <w:rPr>
          <w:rFonts w:ascii="Times New Roman" w:hAnsi="Times New Roman" w:cs="Times New Roman"/>
          <w:sz w:val="24"/>
          <w:szCs w:val="24"/>
        </w:rPr>
        <w:t xml:space="preserve">, </w:t>
      </w:r>
      <w:r w:rsidR="00EA0EF0">
        <w:rPr>
          <w:rFonts w:ascii="Times New Roman" w:hAnsi="Times New Roman" w:cs="Times New Roman"/>
          <w:sz w:val="24"/>
          <w:szCs w:val="24"/>
        </w:rPr>
        <w:t>the P</w:t>
      </w:r>
      <w:r w:rsidR="00E3226B">
        <w:rPr>
          <w:rFonts w:ascii="Times New Roman" w:hAnsi="Times New Roman" w:cs="Times New Roman"/>
          <w:sz w:val="24"/>
          <w:szCs w:val="24"/>
        </w:rPr>
        <w:t xml:space="preserve">olicy </w:t>
      </w:r>
      <w:r w:rsidR="00EE7852" w:rsidRPr="009E7E80">
        <w:rPr>
          <w:rFonts w:ascii="Times New Roman" w:hAnsi="Times New Roman" w:cs="Times New Roman"/>
          <w:sz w:val="24"/>
          <w:szCs w:val="24"/>
        </w:rPr>
        <w:t>im</w:t>
      </w:r>
      <w:r w:rsidR="0049762C" w:rsidRPr="009E7E80">
        <w:rPr>
          <w:rFonts w:ascii="Times New Roman" w:hAnsi="Times New Roman" w:cs="Times New Roman"/>
          <w:sz w:val="24"/>
          <w:szCs w:val="24"/>
        </w:rPr>
        <w:t xml:space="preserve">poses an interpretation of s. 6 </w:t>
      </w:r>
      <w:r w:rsidR="00EE7852" w:rsidRPr="009E7E80">
        <w:rPr>
          <w:rFonts w:ascii="Times New Roman" w:hAnsi="Times New Roman" w:cs="Times New Roman"/>
          <w:sz w:val="24"/>
          <w:szCs w:val="24"/>
        </w:rPr>
        <w:t xml:space="preserve">that </w:t>
      </w:r>
      <w:r w:rsidR="009F4D7A">
        <w:rPr>
          <w:rFonts w:ascii="Times New Roman" w:hAnsi="Times New Roman" w:cs="Times New Roman"/>
          <w:sz w:val="24"/>
          <w:szCs w:val="24"/>
        </w:rPr>
        <w:t>makes</w:t>
      </w:r>
      <w:r w:rsidR="00A81F83" w:rsidRPr="009E7E80">
        <w:rPr>
          <w:rFonts w:ascii="Times New Roman" w:hAnsi="Times New Roman" w:cs="Times New Roman"/>
          <w:sz w:val="24"/>
          <w:szCs w:val="24"/>
        </w:rPr>
        <w:t xml:space="preserve"> it impossible for women who cannot or effectively cannot prove their child’s paternity to</w:t>
      </w:r>
      <w:r w:rsidR="00E3226B">
        <w:rPr>
          <w:rFonts w:ascii="Times New Roman" w:hAnsi="Times New Roman" w:cs="Times New Roman"/>
          <w:sz w:val="24"/>
          <w:szCs w:val="24"/>
        </w:rPr>
        <w:t xml:space="preserve"> register </w:t>
      </w:r>
      <w:r w:rsidR="009F4D7A">
        <w:rPr>
          <w:rFonts w:ascii="Times New Roman" w:hAnsi="Times New Roman" w:cs="Times New Roman"/>
          <w:sz w:val="24"/>
          <w:szCs w:val="24"/>
        </w:rPr>
        <w:t>th</w:t>
      </w:r>
      <w:r w:rsidR="00D9656D">
        <w:rPr>
          <w:rFonts w:ascii="Times New Roman" w:hAnsi="Times New Roman" w:cs="Times New Roman"/>
          <w:sz w:val="24"/>
          <w:szCs w:val="24"/>
        </w:rPr>
        <w:t>eir</w:t>
      </w:r>
      <w:r w:rsidR="009F4D7A">
        <w:rPr>
          <w:rFonts w:ascii="Times New Roman" w:hAnsi="Times New Roman" w:cs="Times New Roman"/>
          <w:sz w:val="24"/>
          <w:szCs w:val="24"/>
        </w:rPr>
        <w:t xml:space="preserve"> child</w:t>
      </w:r>
      <w:r w:rsidR="00EA0EF0">
        <w:rPr>
          <w:rFonts w:ascii="Times New Roman" w:hAnsi="Times New Roman" w:cs="Times New Roman"/>
          <w:sz w:val="24"/>
          <w:szCs w:val="24"/>
        </w:rPr>
        <w:t xml:space="preserve"> on an equal basis</w:t>
      </w:r>
      <w:r w:rsidR="00E3226B">
        <w:rPr>
          <w:rFonts w:ascii="Times New Roman" w:hAnsi="Times New Roman" w:cs="Times New Roman"/>
          <w:sz w:val="24"/>
          <w:szCs w:val="24"/>
        </w:rPr>
        <w:t>.</w:t>
      </w:r>
      <w:r w:rsidR="009F4D7A">
        <w:rPr>
          <w:rFonts w:ascii="Times New Roman" w:hAnsi="Times New Roman" w:cs="Times New Roman"/>
          <w:sz w:val="24"/>
          <w:szCs w:val="24"/>
        </w:rPr>
        <w:t xml:space="preserve"> </w:t>
      </w:r>
      <w:proofErr w:type="gramStart"/>
      <w:r w:rsidR="00A81F83" w:rsidRPr="009F4D7A">
        <w:rPr>
          <w:rFonts w:ascii="Times New Roman" w:hAnsi="Times New Roman" w:cs="Times New Roman"/>
          <w:sz w:val="24"/>
          <w:szCs w:val="24"/>
        </w:rPr>
        <w:t xml:space="preserve">A declaration that </w:t>
      </w:r>
      <w:r w:rsidR="00EA0EF0" w:rsidRPr="009F4D7A">
        <w:rPr>
          <w:rFonts w:ascii="Times New Roman" w:hAnsi="Times New Roman" w:cs="Times New Roman"/>
          <w:sz w:val="24"/>
          <w:szCs w:val="24"/>
        </w:rPr>
        <w:t>the P</w:t>
      </w:r>
      <w:r w:rsidR="00A81F83" w:rsidRPr="009F4D7A">
        <w:rPr>
          <w:rFonts w:ascii="Times New Roman" w:hAnsi="Times New Roman" w:cs="Times New Roman"/>
          <w:sz w:val="24"/>
          <w:szCs w:val="24"/>
        </w:rPr>
        <w:t>olicy</w:t>
      </w:r>
      <w:r w:rsidR="00EA0EF0" w:rsidRPr="009F4D7A">
        <w:rPr>
          <w:rFonts w:ascii="Times New Roman" w:hAnsi="Times New Roman" w:cs="Times New Roman"/>
          <w:sz w:val="24"/>
          <w:szCs w:val="24"/>
        </w:rPr>
        <w:t xml:space="preserve"> must be amended</w:t>
      </w:r>
      <w:r w:rsidR="00A81F83" w:rsidRPr="009F4D7A">
        <w:rPr>
          <w:rFonts w:ascii="Times New Roman" w:hAnsi="Times New Roman" w:cs="Times New Roman"/>
          <w:sz w:val="24"/>
          <w:szCs w:val="24"/>
        </w:rPr>
        <w:t xml:space="preserve"> </w:t>
      </w:r>
      <w:r w:rsidR="009E7E80" w:rsidRPr="009F4D7A">
        <w:rPr>
          <w:rFonts w:ascii="Times New Roman" w:hAnsi="Times New Roman" w:cs="Times New Roman"/>
          <w:sz w:val="24"/>
          <w:szCs w:val="24"/>
        </w:rPr>
        <w:t xml:space="preserve">to allow </w:t>
      </w:r>
      <w:r w:rsidR="00A81F83" w:rsidRPr="009F4D7A">
        <w:rPr>
          <w:rFonts w:ascii="Times New Roman" w:hAnsi="Times New Roman" w:cs="Times New Roman"/>
          <w:sz w:val="24"/>
          <w:szCs w:val="24"/>
        </w:rPr>
        <w:t>Register</w:t>
      </w:r>
      <w:r w:rsidR="009F4D7A" w:rsidRPr="009F4D7A">
        <w:rPr>
          <w:rFonts w:ascii="Times New Roman" w:hAnsi="Times New Roman" w:cs="Times New Roman"/>
          <w:sz w:val="24"/>
          <w:szCs w:val="24"/>
        </w:rPr>
        <w:t>ed Indian women who cannot or effectively cannot prove</w:t>
      </w:r>
      <w:r w:rsidR="00A81F83" w:rsidRPr="009F4D7A">
        <w:rPr>
          <w:rFonts w:ascii="Times New Roman" w:hAnsi="Times New Roman" w:cs="Times New Roman"/>
          <w:sz w:val="24"/>
          <w:szCs w:val="24"/>
        </w:rPr>
        <w:t xml:space="preserve"> th</w:t>
      </w:r>
      <w:r w:rsidR="00E3226B" w:rsidRPr="009F4D7A">
        <w:rPr>
          <w:rFonts w:ascii="Times New Roman" w:hAnsi="Times New Roman" w:cs="Times New Roman"/>
          <w:sz w:val="24"/>
          <w:szCs w:val="24"/>
        </w:rPr>
        <w:t>e paternity of their children to</w:t>
      </w:r>
      <w:r w:rsidR="00A81F83" w:rsidRPr="009F4D7A">
        <w:rPr>
          <w:rFonts w:ascii="Times New Roman" w:hAnsi="Times New Roman" w:cs="Times New Roman"/>
          <w:sz w:val="24"/>
          <w:szCs w:val="24"/>
        </w:rPr>
        <w:t xml:space="preserve"> register their children under s. 6(1), unless there is evidence (for instance, from the child’s father) to show that the child’s father is not a Registered Indian</w:t>
      </w:r>
      <w:r w:rsidR="00B93C82">
        <w:rPr>
          <w:rFonts w:ascii="Times New Roman" w:hAnsi="Times New Roman" w:cs="Times New Roman"/>
          <w:sz w:val="24"/>
          <w:szCs w:val="24"/>
        </w:rPr>
        <w:t>,</w:t>
      </w:r>
      <w:r w:rsidR="00A81F83" w:rsidRPr="009F4D7A">
        <w:rPr>
          <w:rFonts w:ascii="Times New Roman" w:hAnsi="Times New Roman" w:cs="Times New Roman"/>
          <w:sz w:val="24"/>
          <w:szCs w:val="24"/>
        </w:rPr>
        <w:t xml:space="preserve"> would remedy the discrimination at issue in this case by removing the burdens to registration tied to unknown or unstated paternity without requiring the Court to strike down s. 6.</w:t>
      </w:r>
      <w:proofErr w:type="gramEnd"/>
      <w:r w:rsidR="00A81F83" w:rsidRPr="009F4D7A">
        <w:rPr>
          <w:rFonts w:ascii="Times New Roman" w:hAnsi="Times New Roman" w:cs="Times New Roman"/>
          <w:sz w:val="24"/>
          <w:szCs w:val="24"/>
        </w:rPr>
        <w:t xml:space="preserve"> </w:t>
      </w:r>
    </w:p>
    <w:p w:rsidR="00A81F83" w:rsidRPr="00A81F83" w:rsidRDefault="009E7E80" w:rsidP="00A81F83">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 xml:space="preserve">This approach conforms with the principle that Parliament can be presumed to intend to conform with the </w:t>
      </w:r>
      <w:r>
        <w:rPr>
          <w:rFonts w:ascii="Times New Roman" w:hAnsi="Times New Roman" w:cs="Times New Roman"/>
          <w:i/>
          <w:sz w:val="24"/>
          <w:szCs w:val="24"/>
        </w:rPr>
        <w:t>Charter</w:t>
      </w:r>
      <w:r>
        <w:rPr>
          <w:rFonts w:ascii="Times New Roman" w:hAnsi="Times New Roman" w:cs="Times New Roman"/>
          <w:sz w:val="24"/>
          <w:szCs w:val="24"/>
        </w:rPr>
        <w:t xml:space="preserve">: </w:t>
      </w:r>
    </w:p>
    <w:p w:rsidR="00A81F83" w:rsidRPr="00DB384A" w:rsidRDefault="00A81F83" w:rsidP="00A81F83">
      <w:pPr>
        <w:pStyle w:val="Block1"/>
        <w:spacing w:after="240"/>
        <w:jc w:val="both"/>
        <w:rPr>
          <w:sz w:val="24"/>
          <w:szCs w:val="24"/>
        </w:rPr>
      </w:pPr>
      <w:r w:rsidRPr="00DB384A">
        <w:rPr>
          <w:sz w:val="24"/>
          <w:szCs w:val="24"/>
        </w:rPr>
        <w:lastRenderedPageBreak/>
        <w:t xml:space="preserve">Although the Court must not add anything to legislation or delete anything from it in order to make it consistent with the </w:t>
      </w:r>
      <w:r w:rsidRPr="00DB384A">
        <w:rPr>
          <w:i/>
          <w:sz w:val="24"/>
          <w:szCs w:val="24"/>
        </w:rPr>
        <w:t xml:space="preserve">Charter, </w:t>
      </w:r>
      <w:r w:rsidRPr="00DB384A">
        <w:rPr>
          <w:sz w:val="24"/>
          <w:szCs w:val="24"/>
        </w:rPr>
        <w:t xml:space="preserve">[…] it should also not interpret legislation that is open to more than one interpretation so as to make it inconsistent with the </w:t>
      </w:r>
      <w:r w:rsidRPr="00DB384A">
        <w:rPr>
          <w:i/>
          <w:sz w:val="24"/>
          <w:szCs w:val="24"/>
        </w:rPr>
        <w:t>Charter</w:t>
      </w:r>
      <w:r w:rsidRPr="00DB384A">
        <w:rPr>
          <w:sz w:val="24"/>
          <w:szCs w:val="24"/>
        </w:rPr>
        <w:t xml:space="preserve"> and hence of no force and effect.</w:t>
      </w:r>
      <w:r w:rsidRPr="00DB384A">
        <w:rPr>
          <w:rStyle w:val="FootnoteReference"/>
          <w:rFonts w:ascii="Times New Roman" w:hAnsi="Times New Roman" w:cs="Times New Roman"/>
          <w:sz w:val="24"/>
          <w:szCs w:val="24"/>
        </w:rPr>
        <w:footnoteReference w:id="58"/>
      </w:r>
    </w:p>
    <w:p w:rsidR="00AE187F" w:rsidRPr="009E7E80" w:rsidRDefault="009E7E80" w:rsidP="009E7E80">
      <w:pPr>
        <w:pStyle w:val="FactumBodyL1"/>
        <w:spacing w:after="0"/>
        <w:ind w:left="0" w:firstLine="0"/>
        <w:rPr>
          <w:rFonts w:ascii="Times New Roman" w:hAnsi="Times New Roman" w:cs="Times New Roman"/>
          <w:sz w:val="24"/>
          <w:szCs w:val="24"/>
        </w:rPr>
      </w:pPr>
      <w:r>
        <w:rPr>
          <w:rFonts w:ascii="Times New Roman" w:hAnsi="Times New Roman" w:cs="Times New Roman"/>
          <w:sz w:val="24"/>
          <w:szCs w:val="24"/>
        </w:rPr>
        <w:t xml:space="preserve">It also resolves the ambiguity in s.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over how parentage must be demonstrated in a way that protects the </w:t>
      </w:r>
      <w:r>
        <w:rPr>
          <w:rFonts w:ascii="Times New Roman" w:hAnsi="Times New Roman" w:cs="Times New Roman"/>
          <w:i/>
          <w:sz w:val="24"/>
          <w:szCs w:val="24"/>
        </w:rPr>
        <w:t>Charter</w:t>
      </w:r>
      <w:r>
        <w:rPr>
          <w:rFonts w:ascii="Times New Roman" w:hAnsi="Times New Roman" w:cs="Times New Roman"/>
          <w:sz w:val="24"/>
          <w:szCs w:val="24"/>
        </w:rPr>
        <w:t xml:space="preserve"> rights and material interes</w:t>
      </w:r>
      <w:r w:rsidR="009F4D7A">
        <w:rPr>
          <w:rFonts w:ascii="Times New Roman" w:hAnsi="Times New Roman" w:cs="Times New Roman"/>
          <w:sz w:val="24"/>
          <w:szCs w:val="24"/>
        </w:rPr>
        <w:t>ts of Registered Indian women.</w:t>
      </w:r>
      <w:r>
        <w:rPr>
          <w:rFonts w:ascii="Times New Roman" w:hAnsi="Times New Roman" w:cs="Times New Roman"/>
          <w:sz w:val="24"/>
          <w:szCs w:val="24"/>
        </w:rPr>
        <w:t xml:space="preserve"> This is consistent with the principle</w:t>
      </w:r>
      <w:r w:rsidR="00E3226B">
        <w:rPr>
          <w:rFonts w:ascii="Times New Roman" w:hAnsi="Times New Roman" w:cs="Times New Roman"/>
          <w:sz w:val="24"/>
          <w:szCs w:val="24"/>
        </w:rPr>
        <w:t xml:space="preserve">, </w:t>
      </w:r>
      <w:r w:rsidR="00E3226B" w:rsidRPr="009E7E80">
        <w:rPr>
          <w:rFonts w:ascii="Times New Roman" w:hAnsi="Times New Roman" w:cs="Times New Roman"/>
          <w:sz w:val="24"/>
          <w:szCs w:val="24"/>
        </w:rPr>
        <w:t xml:space="preserve">articulated in </w:t>
      </w:r>
      <w:r w:rsidR="00E3226B" w:rsidRPr="009E7E80">
        <w:rPr>
          <w:rFonts w:ascii="Times New Roman" w:hAnsi="Times New Roman" w:cs="Times New Roman"/>
          <w:i/>
          <w:sz w:val="24"/>
          <w:szCs w:val="24"/>
        </w:rPr>
        <w:t>Nowegijick</w:t>
      </w:r>
      <w:r w:rsidR="00E3226B">
        <w:rPr>
          <w:rFonts w:ascii="Times New Roman" w:hAnsi="Times New Roman" w:cs="Times New Roman"/>
          <w:sz w:val="24"/>
          <w:szCs w:val="24"/>
        </w:rPr>
        <w:t>,</w:t>
      </w:r>
      <w:r>
        <w:rPr>
          <w:rFonts w:ascii="Times New Roman" w:hAnsi="Times New Roman" w:cs="Times New Roman"/>
          <w:sz w:val="24"/>
          <w:szCs w:val="24"/>
        </w:rPr>
        <w:t xml:space="preserve"> that ambiguous statutory provisions that apply to First Nations </w:t>
      </w:r>
      <w:proofErr w:type="gramStart"/>
      <w:r w:rsidR="00B617C9" w:rsidRPr="009E7E80">
        <w:rPr>
          <w:rFonts w:ascii="Times New Roman" w:hAnsi="Times New Roman" w:cs="Times New Roman"/>
          <w:sz w:val="24"/>
          <w:szCs w:val="24"/>
        </w:rPr>
        <w:t>should be</w:t>
      </w:r>
      <w:r w:rsidR="006F602C" w:rsidRPr="009E7E80">
        <w:rPr>
          <w:rFonts w:ascii="Times New Roman" w:hAnsi="Times New Roman" w:cs="Times New Roman"/>
          <w:sz w:val="24"/>
          <w:szCs w:val="24"/>
        </w:rPr>
        <w:t xml:space="preserve"> construe</w:t>
      </w:r>
      <w:r w:rsidR="00A553D7" w:rsidRPr="009E7E80">
        <w:rPr>
          <w:rFonts w:ascii="Times New Roman" w:hAnsi="Times New Roman" w:cs="Times New Roman"/>
          <w:sz w:val="24"/>
          <w:szCs w:val="24"/>
        </w:rPr>
        <w:t>d</w:t>
      </w:r>
      <w:proofErr w:type="gramEnd"/>
      <w:r w:rsidR="006F602C" w:rsidRPr="009E7E80">
        <w:rPr>
          <w:rFonts w:ascii="Times New Roman" w:hAnsi="Times New Roman" w:cs="Times New Roman"/>
          <w:sz w:val="24"/>
          <w:szCs w:val="24"/>
        </w:rPr>
        <w:t xml:space="preserve"> </w:t>
      </w:r>
      <w:r w:rsidR="00B617C9" w:rsidRPr="009E7E80">
        <w:rPr>
          <w:rFonts w:ascii="Times New Roman" w:hAnsi="Times New Roman" w:cs="Times New Roman"/>
          <w:sz w:val="24"/>
          <w:szCs w:val="24"/>
        </w:rPr>
        <w:t xml:space="preserve">“liberally” </w:t>
      </w:r>
      <w:r w:rsidR="00096FF7" w:rsidRPr="009E7E80">
        <w:rPr>
          <w:rFonts w:ascii="Times New Roman" w:hAnsi="Times New Roman" w:cs="Times New Roman"/>
          <w:sz w:val="24"/>
          <w:szCs w:val="24"/>
        </w:rPr>
        <w:t>with</w:t>
      </w:r>
      <w:r w:rsidR="00B617C9" w:rsidRPr="009E7E80">
        <w:rPr>
          <w:rFonts w:ascii="Times New Roman" w:hAnsi="Times New Roman" w:cs="Times New Roman"/>
          <w:sz w:val="24"/>
          <w:szCs w:val="24"/>
        </w:rPr>
        <w:t xml:space="preserve"> “doubtful</w:t>
      </w:r>
      <w:r w:rsidR="006F602C" w:rsidRPr="009E7E80">
        <w:rPr>
          <w:rFonts w:ascii="Times New Roman" w:hAnsi="Times New Roman" w:cs="Times New Roman"/>
          <w:sz w:val="24"/>
          <w:szCs w:val="24"/>
        </w:rPr>
        <w:t xml:space="preserve"> expression</w:t>
      </w:r>
      <w:r w:rsidR="00B617C9" w:rsidRPr="009E7E80">
        <w:rPr>
          <w:rFonts w:ascii="Times New Roman" w:hAnsi="Times New Roman" w:cs="Times New Roman"/>
          <w:sz w:val="24"/>
          <w:szCs w:val="24"/>
        </w:rPr>
        <w:t>s</w:t>
      </w:r>
      <w:r w:rsidR="001717D6" w:rsidRPr="009E7E80">
        <w:rPr>
          <w:rFonts w:ascii="Times New Roman" w:hAnsi="Times New Roman" w:cs="Times New Roman"/>
          <w:sz w:val="24"/>
          <w:szCs w:val="24"/>
        </w:rPr>
        <w:t xml:space="preserve"> resolved in</w:t>
      </w:r>
      <w:r w:rsidR="006F602C" w:rsidRPr="009E7E80">
        <w:rPr>
          <w:rFonts w:ascii="Times New Roman" w:hAnsi="Times New Roman" w:cs="Times New Roman"/>
          <w:sz w:val="24"/>
          <w:szCs w:val="24"/>
        </w:rPr>
        <w:t xml:space="preserve"> favour of Indians</w:t>
      </w:r>
      <w:r w:rsidR="00AB6646" w:rsidRPr="009E7E80">
        <w:rPr>
          <w:rFonts w:ascii="Times New Roman" w:hAnsi="Times New Roman" w:cs="Times New Roman"/>
          <w:sz w:val="24"/>
          <w:szCs w:val="24"/>
        </w:rPr>
        <w:t>.</w:t>
      </w:r>
      <w:r w:rsidR="00B617C9" w:rsidRPr="009E7E80">
        <w:rPr>
          <w:rFonts w:ascii="Times New Roman" w:hAnsi="Times New Roman" w:cs="Times New Roman"/>
          <w:sz w:val="24"/>
          <w:szCs w:val="24"/>
        </w:rPr>
        <w:t>”</w:t>
      </w:r>
      <w:r w:rsidR="006F602C" w:rsidRPr="00DB384A">
        <w:rPr>
          <w:rStyle w:val="FootnoteReference"/>
          <w:rFonts w:ascii="Times New Roman" w:hAnsi="Times New Roman" w:cs="Times New Roman"/>
          <w:sz w:val="24"/>
          <w:szCs w:val="24"/>
        </w:rPr>
        <w:footnoteReference w:id="59"/>
      </w:r>
      <w:r w:rsidR="006F602C" w:rsidRPr="009E7E80">
        <w:rPr>
          <w:rFonts w:ascii="Times New Roman" w:hAnsi="Times New Roman" w:cs="Times New Roman"/>
          <w:sz w:val="24"/>
          <w:szCs w:val="24"/>
        </w:rPr>
        <w:t xml:space="preserve"> </w:t>
      </w:r>
      <w:r w:rsidR="00E3226B">
        <w:rPr>
          <w:rFonts w:ascii="Times New Roman" w:hAnsi="Times New Roman" w:cs="Times New Roman"/>
          <w:sz w:val="24"/>
          <w:szCs w:val="24"/>
        </w:rPr>
        <w:t>As Dickson C.J. explained, this</w:t>
      </w:r>
      <w:r w:rsidR="00D9656D">
        <w:rPr>
          <w:rFonts w:ascii="Times New Roman" w:hAnsi="Times New Roman" w:cs="Times New Roman"/>
          <w:sz w:val="24"/>
          <w:szCs w:val="24"/>
        </w:rPr>
        <w:t xml:space="preserve"> interpretive</w:t>
      </w:r>
      <w:r w:rsidR="00E3226B">
        <w:rPr>
          <w:rFonts w:ascii="Times New Roman" w:hAnsi="Times New Roman" w:cs="Times New Roman"/>
          <w:sz w:val="24"/>
          <w:szCs w:val="24"/>
        </w:rPr>
        <w:t xml:space="preserve"> </w:t>
      </w:r>
      <w:r w:rsidR="00EA0EF0">
        <w:rPr>
          <w:rFonts w:ascii="Times New Roman" w:hAnsi="Times New Roman" w:cs="Times New Roman"/>
          <w:sz w:val="24"/>
          <w:szCs w:val="24"/>
        </w:rPr>
        <w:t>principle is an attempt to respond to the historic wrongs that Canada has committed against Indigenous peoples:</w:t>
      </w:r>
    </w:p>
    <w:p w:rsidR="00735D12" w:rsidRPr="00DB384A" w:rsidRDefault="00735D12" w:rsidP="0066567D">
      <w:pPr>
        <w:pStyle w:val="Block1"/>
        <w:spacing w:after="240" w:line="240" w:lineRule="auto"/>
        <w:jc w:val="both"/>
        <w:rPr>
          <w:sz w:val="24"/>
          <w:szCs w:val="24"/>
        </w:rPr>
      </w:pPr>
      <w:proofErr w:type="gramStart"/>
      <w:r w:rsidRPr="00DB384A">
        <w:rPr>
          <w:sz w:val="24"/>
          <w:szCs w:val="24"/>
        </w:rPr>
        <w:t xml:space="preserve">The </w:t>
      </w:r>
      <w:r w:rsidRPr="00DB384A">
        <w:rPr>
          <w:i/>
          <w:sz w:val="24"/>
          <w:szCs w:val="24"/>
        </w:rPr>
        <w:t xml:space="preserve">Nowegijick </w:t>
      </w:r>
      <w:r w:rsidRPr="00DB384A">
        <w:rPr>
          <w:sz w:val="24"/>
          <w:szCs w:val="24"/>
        </w:rPr>
        <w:t>principles must be understood in the context of the Court’s sensitivity to the historical and continuing status of aboriginal peoples in Canadian society</w:t>
      </w:r>
      <w:r w:rsidR="00067CA5">
        <w:rPr>
          <w:sz w:val="24"/>
          <w:szCs w:val="24"/>
        </w:rPr>
        <w:t xml:space="preserve"> [</w:t>
      </w:r>
      <w:r w:rsidRPr="00DB384A">
        <w:rPr>
          <w:sz w:val="24"/>
          <w:szCs w:val="24"/>
        </w:rPr>
        <w:t>…</w:t>
      </w:r>
      <w:r w:rsidR="00067CA5">
        <w:rPr>
          <w:sz w:val="24"/>
          <w:szCs w:val="24"/>
        </w:rPr>
        <w:t>]</w:t>
      </w:r>
      <w:r w:rsidRPr="00DB384A">
        <w:rPr>
          <w:sz w:val="24"/>
          <w:szCs w:val="24"/>
        </w:rPr>
        <w:t xml:space="preserve"> It is Canadian society at large which bears the historical burden of the current situation of native peoples and, as a result, the liberal interpretive approach applies to any statute relating to Indians</w:t>
      </w:r>
      <w:r w:rsidR="00243CAF" w:rsidRPr="00DB384A">
        <w:rPr>
          <w:sz w:val="24"/>
          <w:szCs w:val="24"/>
        </w:rPr>
        <w:t>…</w:t>
      </w:r>
      <w:r w:rsidRPr="00DB384A">
        <w:rPr>
          <w:sz w:val="24"/>
          <w:szCs w:val="24"/>
        </w:rPr>
        <w:t xml:space="preserve">Underlying </w:t>
      </w:r>
      <w:r w:rsidRPr="00DB384A">
        <w:rPr>
          <w:i/>
          <w:sz w:val="24"/>
          <w:szCs w:val="24"/>
        </w:rPr>
        <w:t>Nowegijick</w:t>
      </w:r>
      <w:r w:rsidRPr="00DB384A">
        <w:rPr>
          <w:sz w:val="24"/>
          <w:szCs w:val="24"/>
        </w:rPr>
        <w:t xml:space="preserve"> is an appreciation of the societal responsibility and a concern with remedying disadvantage</w:t>
      </w:r>
      <w:r w:rsidR="000072CF">
        <w:rPr>
          <w:sz w:val="24"/>
          <w:szCs w:val="24"/>
        </w:rPr>
        <w:t>…</w:t>
      </w:r>
      <w:r w:rsidRPr="00DB384A">
        <w:rPr>
          <w:sz w:val="24"/>
          <w:szCs w:val="24"/>
        </w:rPr>
        <w:t>.</w:t>
      </w:r>
      <w:r w:rsidR="00B00C7C" w:rsidRPr="00DB384A">
        <w:rPr>
          <w:rStyle w:val="FootnoteReference"/>
          <w:rFonts w:ascii="Times New Roman" w:hAnsi="Times New Roman" w:cs="Times New Roman"/>
          <w:sz w:val="24"/>
          <w:szCs w:val="24"/>
        </w:rPr>
        <w:footnoteReference w:id="60"/>
      </w:r>
      <w:proofErr w:type="gramEnd"/>
    </w:p>
    <w:p w:rsidR="009A4E07" w:rsidRPr="009A4E07" w:rsidRDefault="00E3226B" w:rsidP="009A4E07">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 xml:space="preserve">Finally, </w:t>
      </w:r>
      <w:r w:rsidR="00B93C82">
        <w:rPr>
          <w:rFonts w:ascii="Times New Roman" w:hAnsi="Times New Roman" w:cs="Times New Roman"/>
          <w:sz w:val="24"/>
          <w:szCs w:val="24"/>
        </w:rPr>
        <w:t>a</w:t>
      </w:r>
      <w:r w:rsidR="009F4D7A">
        <w:rPr>
          <w:rFonts w:ascii="Times New Roman" w:hAnsi="Times New Roman" w:cs="Times New Roman"/>
          <w:sz w:val="24"/>
          <w:szCs w:val="24"/>
        </w:rPr>
        <w:t xml:space="preserve"> declaration</w:t>
      </w:r>
      <w:r w:rsidR="00B93C82">
        <w:rPr>
          <w:rFonts w:ascii="Times New Roman" w:hAnsi="Times New Roman" w:cs="Times New Roman"/>
          <w:sz w:val="24"/>
          <w:szCs w:val="24"/>
        </w:rPr>
        <w:t xml:space="preserve"> that the Policy </w:t>
      </w:r>
      <w:proofErr w:type="gramStart"/>
      <w:r w:rsidR="00B93C82">
        <w:rPr>
          <w:rFonts w:ascii="Times New Roman" w:hAnsi="Times New Roman" w:cs="Times New Roman"/>
          <w:sz w:val="24"/>
          <w:szCs w:val="24"/>
        </w:rPr>
        <w:t>must be amended</w:t>
      </w:r>
      <w:proofErr w:type="gramEnd"/>
      <w:r w:rsidR="009A4E07" w:rsidRPr="001C5AA9">
        <w:rPr>
          <w:rFonts w:ascii="Times New Roman" w:hAnsi="Times New Roman" w:cs="Times New Roman"/>
          <w:sz w:val="24"/>
          <w:szCs w:val="24"/>
        </w:rPr>
        <w:t xml:space="preserve"> comport</w:t>
      </w:r>
      <w:r w:rsidR="00A36912">
        <w:rPr>
          <w:rFonts w:ascii="Times New Roman" w:hAnsi="Times New Roman" w:cs="Times New Roman"/>
          <w:sz w:val="24"/>
          <w:szCs w:val="24"/>
        </w:rPr>
        <w:t>s</w:t>
      </w:r>
      <w:r w:rsidR="009A4E07" w:rsidRPr="001C5AA9">
        <w:rPr>
          <w:rFonts w:ascii="Times New Roman" w:hAnsi="Times New Roman" w:cs="Times New Roman"/>
          <w:sz w:val="24"/>
          <w:szCs w:val="24"/>
        </w:rPr>
        <w:t xml:space="preserve"> with the principle that Parliament can be presumed</w:t>
      </w:r>
      <w:r w:rsidR="009A4E07">
        <w:rPr>
          <w:rFonts w:ascii="Times New Roman" w:hAnsi="Times New Roman" w:cs="Times New Roman"/>
          <w:sz w:val="24"/>
          <w:szCs w:val="24"/>
        </w:rPr>
        <w:t xml:space="preserve"> to intend</w:t>
      </w:r>
      <w:r w:rsidR="009A4E07" w:rsidRPr="001C5AA9">
        <w:rPr>
          <w:rFonts w:ascii="Times New Roman" w:hAnsi="Times New Roman" w:cs="Times New Roman"/>
          <w:sz w:val="24"/>
          <w:szCs w:val="24"/>
        </w:rPr>
        <w:t xml:space="preserve"> </w:t>
      </w:r>
      <w:r w:rsidR="00F833C3">
        <w:rPr>
          <w:rFonts w:ascii="Times New Roman" w:hAnsi="Times New Roman" w:cs="Times New Roman"/>
          <w:sz w:val="24"/>
          <w:szCs w:val="24"/>
        </w:rPr>
        <w:t>to</w:t>
      </w:r>
      <w:r w:rsidR="009A4E07" w:rsidRPr="001C5AA9">
        <w:rPr>
          <w:rFonts w:ascii="Times New Roman" w:hAnsi="Times New Roman" w:cs="Times New Roman"/>
          <w:sz w:val="24"/>
          <w:szCs w:val="24"/>
        </w:rPr>
        <w:t xml:space="preserve"> respect the values and principles enshrined in international</w:t>
      </w:r>
      <w:r w:rsidR="009A4E07">
        <w:rPr>
          <w:rFonts w:ascii="Times New Roman" w:hAnsi="Times New Roman" w:cs="Times New Roman"/>
          <w:sz w:val="24"/>
          <w:szCs w:val="24"/>
        </w:rPr>
        <w:t xml:space="preserve"> </w:t>
      </w:r>
      <w:r w:rsidR="009A4E07" w:rsidRPr="001C5AA9">
        <w:rPr>
          <w:rFonts w:ascii="Times New Roman" w:hAnsi="Times New Roman" w:cs="Times New Roman"/>
          <w:sz w:val="24"/>
          <w:szCs w:val="24"/>
        </w:rPr>
        <w:t>law.</w:t>
      </w:r>
      <w:r w:rsidR="009A4E07" w:rsidRPr="001C5AA9">
        <w:rPr>
          <w:rStyle w:val="FootnoteReference"/>
          <w:rFonts w:ascii="Times New Roman" w:hAnsi="Times New Roman" w:cs="Times New Roman"/>
          <w:sz w:val="24"/>
          <w:szCs w:val="24"/>
        </w:rPr>
        <w:footnoteReference w:id="61"/>
      </w:r>
      <w:r w:rsidR="009A4E07" w:rsidRPr="001C5AA9">
        <w:rPr>
          <w:rFonts w:ascii="Times New Roman" w:hAnsi="Times New Roman" w:cs="Times New Roman"/>
          <w:sz w:val="24"/>
          <w:szCs w:val="24"/>
        </w:rPr>
        <w:t xml:space="preserve"> Discrimination on the basis of sex is prohibited by a number of international human rights instruments to which Canada is a signatory, including Art. 26 of the </w:t>
      </w:r>
      <w:r w:rsidR="009A4E07" w:rsidRPr="001C5AA9">
        <w:rPr>
          <w:rFonts w:ascii="Times New Roman" w:hAnsi="Times New Roman" w:cs="Times New Roman"/>
          <w:sz w:val="24"/>
          <w:szCs w:val="24"/>
        </w:rPr>
        <w:lastRenderedPageBreak/>
        <w:t xml:space="preserve">International Convention on Civil and Political </w:t>
      </w:r>
      <w:r w:rsidR="009A4E07" w:rsidRPr="009F0899">
        <w:rPr>
          <w:rFonts w:ascii="Times New Roman" w:hAnsi="Times New Roman" w:cs="Times New Roman"/>
          <w:sz w:val="24"/>
          <w:szCs w:val="24"/>
        </w:rPr>
        <w:t>Rights</w:t>
      </w:r>
      <w:r w:rsidR="003C3B18">
        <w:rPr>
          <w:rFonts w:ascii="Times New Roman" w:hAnsi="Times New Roman" w:cs="Times New Roman"/>
          <w:sz w:val="24"/>
          <w:szCs w:val="24"/>
        </w:rPr>
        <w:t>,</w:t>
      </w:r>
      <w:r w:rsidR="009A4E07" w:rsidRPr="009F0899">
        <w:rPr>
          <w:rStyle w:val="FootnoteReference"/>
          <w:rFonts w:ascii="Times New Roman" w:hAnsi="Times New Roman" w:cs="Times New Roman"/>
          <w:sz w:val="24"/>
          <w:szCs w:val="24"/>
        </w:rPr>
        <w:footnoteReference w:id="62"/>
      </w:r>
      <w:r w:rsidR="009A4E07" w:rsidRPr="009F0899">
        <w:rPr>
          <w:rFonts w:ascii="Times New Roman" w:hAnsi="Times New Roman" w:cs="Times New Roman"/>
          <w:sz w:val="24"/>
          <w:szCs w:val="24"/>
        </w:rPr>
        <w:t xml:space="preserve"> and the Convention on the Elimination of All Forms of Discrimination </w:t>
      </w:r>
      <w:proofErr w:type="gramStart"/>
      <w:r w:rsidR="009A4E07" w:rsidRPr="009F0899">
        <w:rPr>
          <w:rFonts w:ascii="Times New Roman" w:hAnsi="Times New Roman" w:cs="Times New Roman"/>
          <w:sz w:val="24"/>
          <w:szCs w:val="24"/>
        </w:rPr>
        <w:t>Against</w:t>
      </w:r>
      <w:proofErr w:type="gramEnd"/>
      <w:r w:rsidR="009A4E07" w:rsidRPr="009F0899">
        <w:rPr>
          <w:rFonts w:ascii="Times New Roman" w:hAnsi="Times New Roman" w:cs="Times New Roman"/>
          <w:sz w:val="24"/>
          <w:szCs w:val="24"/>
        </w:rPr>
        <w:t xml:space="preserve"> Women.</w:t>
      </w:r>
      <w:r w:rsidR="009A4E07" w:rsidRPr="009F0899">
        <w:rPr>
          <w:rStyle w:val="FootnoteReference"/>
          <w:rFonts w:ascii="Times New Roman" w:hAnsi="Times New Roman" w:cs="Times New Roman"/>
          <w:sz w:val="24"/>
          <w:szCs w:val="24"/>
        </w:rPr>
        <w:footnoteReference w:id="63"/>
      </w:r>
      <w:r w:rsidR="009A4E07" w:rsidRPr="001C5AA9">
        <w:rPr>
          <w:rFonts w:ascii="Times New Roman" w:hAnsi="Times New Roman" w:cs="Times New Roman"/>
          <w:sz w:val="24"/>
          <w:szCs w:val="24"/>
        </w:rPr>
        <w:t xml:space="preserve"> </w:t>
      </w:r>
    </w:p>
    <w:p w:rsidR="00813A3E" w:rsidRPr="00DB384A" w:rsidRDefault="009F4D7A" w:rsidP="004251D7">
      <w:pPr>
        <w:pStyle w:val="FactumBodyL1"/>
        <w:spacing w:after="120"/>
        <w:ind w:left="0" w:firstLine="0"/>
        <w:rPr>
          <w:rFonts w:ascii="Times New Roman" w:hAnsi="Times New Roman" w:cs="Times New Roman"/>
          <w:sz w:val="24"/>
          <w:szCs w:val="24"/>
        </w:rPr>
      </w:pPr>
      <w:r>
        <w:rPr>
          <w:rFonts w:ascii="Times New Roman" w:hAnsi="Times New Roman" w:cs="Times New Roman"/>
          <w:sz w:val="24"/>
          <w:szCs w:val="24"/>
        </w:rPr>
        <w:t xml:space="preserve">If </w:t>
      </w:r>
      <w:r w:rsidR="00435819" w:rsidRPr="00DB384A">
        <w:rPr>
          <w:rFonts w:ascii="Times New Roman" w:hAnsi="Times New Roman" w:cs="Times New Roman"/>
          <w:sz w:val="24"/>
          <w:szCs w:val="24"/>
        </w:rPr>
        <w:t>th</w:t>
      </w:r>
      <w:r w:rsidR="00DF3FF7">
        <w:rPr>
          <w:rFonts w:ascii="Times New Roman" w:hAnsi="Times New Roman" w:cs="Times New Roman"/>
          <w:sz w:val="24"/>
          <w:szCs w:val="24"/>
        </w:rPr>
        <w:t>is</w:t>
      </w:r>
      <w:r w:rsidR="00435819" w:rsidRPr="00DB384A">
        <w:rPr>
          <w:rFonts w:ascii="Times New Roman" w:hAnsi="Times New Roman" w:cs="Times New Roman"/>
          <w:sz w:val="24"/>
          <w:szCs w:val="24"/>
        </w:rPr>
        <w:t xml:space="preserve"> Court concludes that </w:t>
      </w:r>
      <w:r w:rsidR="00C36ED1">
        <w:rPr>
          <w:rFonts w:ascii="Times New Roman" w:hAnsi="Times New Roman" w:cs="Times New Roman"/>
          <w:sz w:val="24"/>
          <w:szCs w:val="24"/>
        </w:rPr>
        <w:t xml:space="preserve">it is not possible under s. 6 to </w:t>
      </w:r>
      <w:r w:rsidR="00DF3FF7">
        <w:rPr>
          <w:rFonts w:ascii="Times New Roman" w:hAnsi="Times New Roman" w:cs="Times New Roman"/>
          <w:sz w:val="24"/>
          <w:szCs w:val="24"/>
        </w:rPr>
        <w:t xml:space="preserve">allow </w:t>
      </w:r>
      <w:r w:rsidR="00436091" w:rsidRPr="00DB384A">
        <w:rPr>
          <w:rFonts w:ascii="Times New Roman" w:hAnsi="Times New Roman" w:cs="Times New Roman"/>
          <w:sz w:val="24"/>
          <w:szCs w:val="24"/>
        </w:rPr>
        <w:t>women</w:t>
      </w:r>
      <w:r w:rsidR="004007D4">
        <w:rPr>
          <w:rFonts w:ascii="Times New Roman" w:hAnsi="Times New Roman" w:cs="Times New Roman"/>
          <w:sz w:val="24"/>
          <w:szCs w:val="24"/>
        </w:rPr>
        <w:t xml:space="preserve"> who cannot </w:t>
      </w:r>
      <w:r w:rsidR="00DA73CA">
        <w:rPr>
          <w:rFonts w:ascii="Times New Roman" w:hAnsi="Times New Roman" w:cs="Times New Roman"/>
          <w:sz w:val="24"/>
          <w:szCs w:val="24"/>
        </w:rPr>
        <w:t>or effectively cannot</w:t>
      </w:r>
      <w:r w:rsidR="004007D4">
        <w:rPr>
          <w:rFonts w:ascii="Times New Roman" w:hAnsi="Times New Roman" w:cs="Times New Roman"/>
          <w:sz w:val="24"/>
          <w:szCs w:val="24"/>
        </w:rPr>
        <w:t xml:space="preserve"> </w:t>
      </w:r>
      <w:r w:rsidR="006D6F0F">
        <w:rPr>
          <w:rFonts w:ascii="Times New Roman" w:hAnsi="Times New Roman" w:cs="Times New Roman"/>
          <w:sz w:val="24"/>
          <w:szCs w:val="24"/>
        </w:rPr>
        <w:t xml:space="preserve">prove </w:t>
      </w:r>
      <w:r w:rsidR="004007D4">
        <w:rPr>
          <w:rFonts w:ascii="Times New Roman" w:hAnsi="Times New Roman" w:cs="Times New Roman"/>
          <w:sz w:val="24"/>
          <w:szCs w:val="24"/>
        </w:rPr>
        <w:t>the paternity of their child</w:t>
      </w:r>
      <w:r w:rsidR="00DA73CA">
        <w:rPr>
          <w:rFonts w:ascii="Times New Roman" w:hAnsi="Times New Roman" w:cs="Times New Roman"/>
          <w:sz w:val="24"/>
          <w:szCs w:val="24"/>
        </w:rPr>
        <w:t xml:space="preserve"> </w:t>
      </w:r>
      <w:r w:rsidR="00DF3FF7">
        <w:rPr>
          <w:rFonts w:ascii="Times New Roman" w:hAnsi="Times New Roman" w:cs="Times New Roman"/>
          <w:sz w:val="24"/>
          <w:szCs w:val="24"/>
        </w:rPr>
        <w:t xml:space="preserve">to </w:t>
      </w:r>
      <w:r w:rsidR="006756D9">
        <w:rPr>
          <w:rFonts w:ascii="Times New Roman" w:hAnsi="Times New Roman" w:cs="Times New Roman"/>
          <w:sz w:val="24"/>
          <w:szCs w:val="24"/>
        </w:rPr>
        <w:t>rely on a posi</w:t>
      </w:r>
      <w:r w:rsidR="000072CF">
        <w:rPr>
          <w:rFonts w:ascii="Times New Roman" w:hAnsi="Times New Roman" w:cs="Times New Roman"/>
          <w:sz w:val="24"/>
          <w:szCs w:val="24"/>
        </w:rPr>
        <w:t xml:space="preserve">tive presumption of </w:t>
      </w:r>
      <w:r w:rsidR="00B564D8">
        <w:rPr>
          <w:rFonts w:ascii="Times New Roman" w:hAnsi="Times New Roman" w:cs="Times New Roman"/>
          <w:sz w:val="24"/>
          <w:szCs w:val="24"/>
        </w:rPr>
        <w:t xml:space="preserve">Indian </w:t>
      </w:r>
      <w:r w:rsidR="000072CF">
        <w:rPr>
          <w:rFonts w:ascii="Times New Roman" w:hAnsi="Times New Roman" w:cs="Times New Roman"/>
          <w:sz w:val="24"/>
          <w:szCs w:val="24"/>
        </w:rPr>
        <w:t>paternity to</w:t>
      </w:r>
      <w:r w:rsidR="006756D9">
        <w:rPr>
          <w:rFonts w:ascii="Times New Roman" w:hAnsi="Times New Roman" w:cs="Times New Roman"/>
          <w:sz w:val="24"/>
          <w:szCs w:val="24"/>
        </w:rPr>
        <w:t xml:space="preserve"> </w:t>
      </w:r>
      <w:r w:rsidR="00DF3FF7">
        <w:rPr>
          <w:rFonts w:ascii="Times New Roman" w:hAnsi="Times New Roman" w:cs="Times New Roman"/>
          <w:sz w:val="24"/>
          <w:szCs w:val="24"/>
        </w:rPr>
        <w:t>regist</w:t>
      </w:r>
      <w:r w:rsidR="00B53EFF">
        <w:rPr>
          <w:rFonts w:ascii="Times New Roman" w:hAnsi="Times New Roman" w:cs="Times New Roman"/>
          <w:sz w:val="24"/>
          <w:szCs w:val="24"/>
        </w:rPr>
        <w:t>er their children under s. 6(1)</w:t>
      </w:r>
      <w:r w:rsidR="0044294D" w:rsidRPr="00DB384A">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F0899">
        <w:rPr>
          <w:rFonts w:ascii="Times New Roman" w:hAnsi="Times New Roman" w:cs="Times New Roman"/>
          <w:sz w:val="24"/>
          <w:szCs w:val="24"/>
        </w:rPr>
        <w:t>the</w:t>
      </w:r>
      <w:r w:rsidR="00EA0EF0">
        <w:rPr>
          <w:rFonts w:ascii="Times New Roman" w:hAnsi="Times New Roman" w:cs="Times New Roman"/>
          <w:sz w:val="24"/>
          <w:szCs w:val="24"/>
        </w:rPr>
        <w:t>n it follows that</w:t>
      </w:r>
      <w:r w:rsidR="009F0899">
        <w:rPr>
          <w:rFonts w:ascii="Times New Roman" w:hAnsi="Times New Roman" w:cs="Times New Roman"/>
          <w:sz w:val="24"/>
          <w:szCs w:val="24"/>
        </w:rPr>
        <w:t xml:space="preserve"> </w:t>
      </w:r>
      <w:r w:rsidR="001D6BCF">
        <w:rPr>
          <w:rFonts w:ascii="Times New Roman" w:hAnsi="Times New Roman" w:cs="Times New Roman"/>
          <w:sz w:val="24"/>
          <w:szCs w:val="24"/>
        </w:rPr>
        <w:t xml:space="preserve">the </w:t>
      </w:r>
      <w:r w:rsidR="00240FBD">
        <w:rPr>
          <w:rFonts w:ascii="Times New Roman" w:hAnsi="Times New Roman" w:cs="Times New Roman"/>
          <w:sz w:val="24"/>
          <w:szCs w:val="24"/>
        </w:rPr>
        <w:t>registration provisions</w:t>
      </w:r>
      <w:r w:rsidR="009F0899">
        <w:rPr>
          <w:rFonts w:ascii="Times New Roman" w:hAnsi="Times New Roman" w:cs="Times New Roman"/>
          <w:sz w:val="24"/>
          <w:szCs w:val="24"/>
        </w:rPr>
        <w:t xml:space="preserve"> </w:t>
      </w:r>
      <w:r w:rsidR="00EA0EF0">
        <w:rPr>
          <w:rFonts w:ascii="Times New Roman" w:hAnsi="Times New Roman" w:cs="Times New Roman"/>
          <w:sz w:val="24"/>
          <w:szCs w:val="24"/>
        </w:rPr>
        <w:t xml:space="preserve">themselves </w:t>
      </w:r>
      <w:r w:rsidR="009F0899">
        <w:rPr>
          <w:rFonts w:ascii="Times New Roman" w:hAnsi="Times New Roman" w:cs="Times New Roman"/>
          <w:sz w:val="24"/>
          <w:szCs w:val="24"/>
        </w:rPr>
        <w:t>contravene</w:t>
      </w:r>
      <w:r w:rsidR="004251D7">
        <w:rPr>
          <w:rFonts w:ascii="Times New Roman" w:hAnsi="Times New Roman" w:cs="Times New Roman"/>
          <w:sz w:val="24"/>
          <w:szCs w:val="24"/>
        </w:rPr>
        <w:t xml:space="preserve"> s. 15(1) of the </w:t>
      </w:r>
      <w:r w:rsidR="004251D7">
        <w:rPr>
          <w:rFonts w:ascii="Times New Roman" w:hAnsi="Times New Roman" w:cs="Times New Roman"/>
          <w:i/>
          <w:sz w:val="24"/>
          <w:szCs w:val="24"/>
        </w:rPr>
        <w:t>Charter</w:t>
      </w:r>
      <w:r w:rsidR="00B93C82">
        <w:rPr>
          <w:rFonts w:ascii="Times New Roman" w:hAnsi="Times New Roman" w:cs="Times New Roman"/>
          <w:sz w:val="24"/>
          <w:szCs w:val="24"/>
        </w:rPr>
        <w:t>.</w:t>
      </w:r>
      <w:r w:rsidR="00A36912">
        <w:rPr>
          <w:rFonts w:ascii="Times New Roman" w:hAnsi="Times New Roman" w:cs="Times New Roman"/>
          <w:i/>
          <w:sz w:val="24"/>
          <w:szCs w:val="24"/>
        </w:rPr>
        <w:t xml:space="preserve"> </w:t>
      </w:r>
      <w:r w:rsidR="00B93C82">
        <w:rPr>
          <w:rFonts w:ascii="Times New Roman" w:hAnsi="Times New Roman" w:cs="Times New Roman"/>
          <w:sz w:val="24"/>
          <w:szCs w:val="24"/>
        </w:rPr>
        <w:t xml:space="preserve">In this circumstance, s. </w:t>
      </w:r>
      <w:proofErr w:type="gramStart"/>
      <w:r w:rsidR="00B93C82">
        <w:rPr>
          <w:rFonts w:ascii="Times New Roman" w:hAnsi="Times New Roman" w:cs="Times New Roman"/>
          <w:sz w:val="24"/>
          <w:szCs w:val="24"/>
        </w:rPr>
        <w:t>6</w:t>
      </w:r>
      <w:proofErr w:type="gramEnd"/>
      <w:r w:rsidR="00B93C82">
        <w:rPr>
          <w:rFonts w:ascii="Times New Roman" w:hAnsi="Times New Roman" w:cs="Times New Roman"/>
          <w:sz w:val="24"/>
          <w:szCs w:val="24"/>
        </w:rPr>
        <w:t xml:space="preserve"> must be struck down</w:t>
      </w:r>
      <w:r w:rsidR="00FE3A9B">
        <w:rPr>
          <w:rFonts w:ascii="Times New Roman" w:hAnsi="Times New Roman" w:cs="Times New Roman"/>
          <w:sz w:val="24"/>
          <w:szCs w:val="24"/>
        </w:rPr>
        <w:t xml:space="preserve"> to allow </w:t>
      </w:r>
      <w:r w:rsidR="00B93C82">
        <w:rPr>
          <w:rFonts w:ascii="Times New Roman" w:hAnsi="Times New Roman" w:cs="Times New Roman"/>
          <w:sz w:val="24"/>
          <w:szCs w:val="24"/>
        </w:rPr>
        <w:t xml:space="preserve">Parliament to redraft it </w:t>
      </w:r>
      <w:r w:rsidR="00A36912">
        <w:rPr>
          <w:rFonts w:ascii="Times New Roman" w:hAnsi="Times New Roman" w:cs="Times New Roman"/>
          <w:sz w:val="24"/>
          <w:szCs w:val="24"/>
        </w:rPr>
        <w:t xml:space="preserve">in conformity with the </w:t>
      </w:r>
      <w:r w:rsidR="00A36912">
        <w:rPr>
          <w:rFonts w:ascii="Times New Roman" w:hAnsi="Times New Roman" w:cs="Times New Roman"/>
          <w:i/>
          <w:sz w:val="24"/>
          <w:szCs w:val="24"/>
        </w:rPr>
        <w:t xml:space="preserve">Charter. </w:t>
      </w:r>
    </w:p>
    <w:p w:rsidR="002F5BB0" w:rsidRPr="00DB384A" w:rsidRDefault="002F5BB0" w:rsidP="009A4E07">
      <w:pPr>
        <w:pStyle w:val="Heading1"/>
        <w:spacing w:before="0" w:after="240"/>
        <w:rPr>
          <w:rFonts w:ascii="Times New Roman" w:hAnsi="Times New Roman" w:cs="Times New Roman"/>
          <w:sz w:val="24"/>
          <w:szCs w:val="24"/>
        </w:rPr>
      </w:pPr>
      <w:r w:rsidRPr="00DB384A">
        <w:rPr>
          <w:rFonts w:ascii="Times New Roman" w:hAnsi="Times New Roman" w:cs="Times New Roman"/>
          <w:sz w:val="24"/>
          <w:szCs w:val="24"/>
        </w:rPr>
        <w:t>PART V – Order Sought</w:t>
      </w:r>
      <w:r w:rsidR="00C54E41" w:rsidRPr="00DB384A">
        <w:rPr>
          <w:rFonts w:ascii="Times New Roman" w:hAnsi="Times New Roman" w:cs="Times New Roman"/>
          <w:sz w:val="24"/>
          <w:szCs w:val="24"/>
        </w:rPr>
        <w:t xml:space="preserve"> and Submission on Costs</w:t>
      </w:r>
    </w:p>
    <w:p w:rsidR="00F63763" w:rsidRPr="00540E63" w:rsidRDefault="00F63763" w:rsidP="00540E63">
      <w:pPr>
        <w:pStyle w:val="FactumBodyL1"/>
        <w:spacing w:after="120"/>
        <w:ind w:left="0" w:firstLine="0"/>
        <w:rPr>
          <w:rFonts w:ascii="Times New Roman" w:hAnsi="Times New Roman" w:cs="Times New Roman"/>
          <w:sz w:val="24"/>
          <w:szCs w:val="24"/>
        </w:rPr>
      </w:pPr>
      <w:r w:rsidRPr="00DB384A">
        <w:rPr>
          <w:rFonts w:ascii="Times New Roman" w:hAnsi="Times New Roman" w:cs="Times New Roman"/>
          <w:sz w:val="24"/>
          <w:szCs w:val="24"/>
        </w:rPr>
        <w:t>LEAF seeks no costs and respectfully requests t</w:t>
      </w:r>
      <w:r w:rsidR="0039055B">
        <w:rPr>
          <w:rFonts w:ascii="Times New Roman" w:hAnsi="Times New Roman" w:cs="Times New Roman"/>
          <w:sz w:val="24"/>
          <w:szCs w:val="24"/>
        </w:rPr>
        <w:t xml:space="preserve">hat none </w:t>
      </w:r>
      <w:proofErr w:type="gramStart"/>
      <w:r w:rsidR="0039055B">
        <w:rPr>
          <w:rFonts w:ascii="Times New Roman" w:hAnsi="Times New Roman" w:cs="Times New Roman"/>
          <w:sz w:val="24"/>
          <w:szCs w:val="24"/>
        </w:rPr>
        <w:t>be issued</w:t>
      </w:r>
      <w:proofErr w:type="gramEnd"/>
      <w:r w:rsidR="0039055B">
        <w:rPr>
          <w:rFonts w:ascii="Times New Roman" w:hAnsi="Times New Roman" w:cs="Times New Roman"/>
          <w:sz w:val="24"/>
          <w:szCs w:val="24"/>
        </w:rPr>
        <w:t xml:space="preserve"> against it. </w:t>
      </w:r>
      <w:r w:rsidR="00540E63">
        <w:rPr>
          <w:rFonts w:ascii="Times New Roman" w:hAnsi="Times New Roman" w:cs="Times New Roman"/>
          <w:sz w:val="24"/>
          <w:szCs w:val="24"/>
        </w:rPr>
        <w:t xml:space="preserve"> </w:t>
      </w:r>
      <w:r w:rsidRPr="00540E63">
        <w:rPr>
          <w:rFonts w:ascii="Times New Roman" w:hAnsi="Times New Roman" w:cs="Times New Roman"/>
          <w:sz w:val="24"/>
          <w:szCs w:val="24"/>
        </w:rPr>
        <w:t xml:space="preserve">LEAF takes no position on the disposition of the appeal, but respectfully requests that it be determined in light of the submissions set out above. </w:t>
      </w:r>
    </w:p>
    <w:p w:rsidR="009F4D7A" w:rsidRPr="00DB384A" w:rsidRDefault="00B226F3" w:rsidP="004251D7">
      <w:pPr>
        <w:pStyle w:val="FactumBodyL1"/>
        <w:numPr>
          <w:ilvl w:val="0"/>
          <w:numId w:val="0"/>
        </w:numPr>
        <w:spacing w:after="120"/>
        <w:rPr>
          <w:rFonts w:ascii="Times New Roman" w:hAnsi="Times New Roman" w:cs="Times New Roman"/>
          <w:noProof/>
          <w:sz w:val="24"/>
          <w:szCs w:val="24"/>
        </w:rPr>
      </w:pPr>
      <w:r w:rsidRPr="00DB384A">
        <w:rPr>
          <w:rFonts w:ascii="Times New Roman" w:hAnsi="Times New Roman" w:cs="Times New Roman"/>
          <w:sz w:val="24"/>
          <w:szCs w:val="24"/>
        </w:rPr>
        <w:t>ALL OF WHICH IS RESPECTF</w:t>
      </w:r>
      <w:r w:rsidR="00E76CA2" w:rsidRPr="00DB384A">
        <w:rPr>
          <w:rFonts w:ascii="Times New Roman" w:hAnsi="Times New Roman" w:cs="Times New Roman"/>
          <w:sz w:val="24"/>
          <w:szCs w:val="24"/>
        </w:rPr>
        <w:t>ULLY SUBMITTED this</w:t>
      </w:r>
      <w:r w:rsidR="00287B0E" w:rsidRPr="00DB384A">
        <w:rPr>
          <w:rStyle w:val="Prompt"/>
          <w:rFonts w:ascii="Times New Roman" w:hAnsi="Times New Roman" w:cs="Times New Roman"/>
          <w:sz w:val="24"/>
          <w:szCs w:val="24"/>
        </w:rPr>
        <w:t> 23rd</w:t>
      </w:r>
      <w:r w:rsidRPr="00DB384A">
        <w:rPr>
          <w:rStyle w:val="Prompt"/>
          <w:rFonts w:ascii="Times New Roman" w:hAnsi="Times New Roman" w:cs="Times New Roman"/>
          <w:sz w:val="24"/>
          <w:szCs w:val="24"/>
        </w:rPr>
        <w:t> </w:t>
      </w:r>
      <w:r w:rsidRPr="00DB384A">
        <w:rPr>
          <w:rFonts w:ascii="Times New Roman" w:hAnsi="Times New Roman" w:cs="Times New Roman"/>
          <w:sz w:val="24"/>
          <w:szCs w:val="24"/>
        </w:rPr>
        <w:t xml:space="preserve">day of </w:t>
      </w:r>
      <w:r w:rsidR="00A920D2" w:rsidRPr="00DB384A">
        <w:rPr>
          <w:rFonts w:ascii="Times New Roman" w:hAnsi="Times New Roman" w:cs="Times New Roman"/>
          <w:noProof/>
          <w:sz w:val="24"/>
          <w:szCs w:val="24"/>
        </w:rPr>
        <w:t>September</w:t>
      </w:r>
      <w:r w:rsidR="00540E63">
        <w:rPr>
          <w:rFonts w:ascii="Times New Roman" w:hAnsi="Times New Roman" w:cs="Times New Roman"/>
          <w:noProof/>
          <w:sz w:val="24"/>
          <w:szCs w:val="24"/>
        </w:rPr>
        <w:t>, 2016</w:t>
      </w:r>
    </w:p>
    <w:p w:rsidR="00B93C82" w:rsidRDefault="00B226F3" w:rsidP="004251D7">
      <w:pPr>
        <w:keepNext/>
        <w:spacing w:after="120"/>
        <w:jc w:val="right"/>
        <w:rPr>
          <w:noProof/>
          <w:sz w:val="24"/>
          <w:szCs w:val="24"/>
        </w:rPr>
      </w:pPr>
      <w:r w:rsidRPr="00DB384A">
        <w:rPr>
          <w:noProof/>
          <w:sz w:val="24"/>
          <w:szCs w:val="24"/>
        </w:rPr>
        <w:tab/>
      </w:r>
    </w:p>
    <w:p w:rsidR="00112F67" w:rsidRPr="00DB384A" w:rsidRDefault="00B226F3" w:rsidP="00D41D12">
      <w:pPr>
        <w:keepNext/>
        <w:spacing w:after="120"/>
        <w:jc w:val="right"/>
        <w:rPr>
          <w:noProof/>
          <w:sz w:val="24"/>
          <w:szCs w:val="24"/>
        </w:rPr>
      </w:pPr>
      <w:r w:rsidRPr="00DB384A">
        <w:rPr>
          <w:noProof/>
          <w:sz w:val="24"/>
          <w:szCs w:val="24"/>
        </w:rPr>
        <w:tab/>
      </w:r>
      <w:r w:rsidRPr="00DB384A">
        <w:rPr>
          <w:noProof/>
          <w:sz w:val="24"/>
          <w:szCs w:val="24"/>
        </w:rPr>
        <w:tab/>
      </w:r>
      <w:r w:rsidRPr="00DB384A">
        <w:rPr>
          <w:noProof/>
          <w:sz w:val="24"/>
          <w:szCs w:val="24"/>
        </w:rPr>
        <w:tab/>
        <w:t xml:space="preserve">   _________________________________________________</w:t>
      </w:r>
    </w:p>
    <w:tbl>
      <w:tblPr>
        <w:tblW w:w="0" w:type="auto"/>
        <w:tblInd w:w="3438" w:type="dxa"/>
        <w:tblBorders>
          <w:insideV w:val="single" w:sz="4" w:space="0" w:color="000000"/>
        </w:tblBorders>
        <w:tblLook w:val="04A0" w:firstRow="1" w:lastRow="0" w:firstColumn="1" w:lastColumn="0" w:noHBand="0" w:noVBand="1"/>
      </w:tblPr>
      <w:tblGrid>
        <w:gridCol w:w="5958"/>
      </w:tblGrid>
      <w:tr w:rsidR="00B226F3" w:rsidRPr="00DB384A" w:rsidTr="00305C60">
        <w:tc>
          <w:tcPr>
            <w:tcW w:w="5958" w:type="dxa"/>
          </w:tcPr>
          <w:p w:rsidR="00B226F3" w:rsidRPr="00DB384A" w:rsidRDefault="00B226F3" w:rsidP="004251D7">
            <w:pPr>
              <w:spacing w:after="120" w:line="240" w:lineRule="auto"/>
              <w:rPr>
                <w:b/>
                <w:sz w:val="24"/>
                <w:szCs w:val="24"/>
              </w:rPr>
            </w:pPr>
            <w:r w:rsidRPr="00DB384A">
              <w:rPr>
                <w:b/>
                <w:sz w:val="24"/>
                <w:szCs w:val="24"/>
              </w:rPr>
              <w:t xml:space="preserve">OLTHUIS KLEER TOWNSHEND LLP  </w:t>
            </w:r>
          </w:p>
        </w:tc>
      </w:tr>
      <w:tr w:rsidR="00B226F3" w:rsidRPr="00DB384A" w:rsidTr="00305C60">
        <w:tc>
          <w:tcPr>
            <w:tcW w:w="5958" w:type="dxa"/>
          </w:tcPr>
          <w:p w:rsidR="00B226F3" w:rsidRPr="00DB384A" w:rsidRDefault="00B226F3" w:rsidP="004251D7">
            <w:pPr>
              <w:spacing w:after="120" w:line="240" w:lineRule="auto"/>
              <w:rPr>
                <w:sz w:val="24"/>
                <w:szCs w:val="24"/>
              </w:rPr>
            </w:pPr>
            <w:r w:rsidRPr="00DB384A">
              <w:rPr>
                <w:sz w:val="24"/>
                <w:szCs w:val="24"/>
              </w:rPr>
              <w:t>250 University Avenue, 8</w:t>
            </w:r>
            <w:r w:rsidRPr="00DB384A">
              <w:rPr>
                <w:sz w:val="24"/>
                <w:szCs w:val="24"/>
                <w:vertAlign w:val="superscript"/>
              </w:rPr>
              <w:t>th</w:t>
            </w:r>
            <w:r w:rsidRPr="00DB384A">
              <w:rPr>
                <w:sz w:val="24"/>
                <w:szCs w:val="24"/>
              </w:rPr>
              <w:t xml:space="preserve"> Floor</w:t>
            </w:r>
          </w:p>
        </w:tc>
      </w:tr>
      <w:tr w:rsidR="00B226F3" w:rsidRPr="00DB384A" w:rsidTr="00305C60">
        <w:tc>
          <w:tcPr>
            <w:tcW w:w="5958" w:type="dxa"/>
          </w:tcPr>
          <w:p w:rsidR="00B226F3" w:rsidRPr="00DB384A" w:rsidRDefault="00B226F3" w:rsidP="004251D7">
            <w:pPr>
              <w:spacing w:after="120" w:line="240" w:lineRule="auto"/>
              <w:rPr>
                <w:sz w:val="24"/>
                <w:szCs w:val="24"/>
              </w:rPr>
            </w:pPr>
            <w:r w:rsidRPr="00DB384A">
              <w:rPr>
                <w:sz w:val="24"/>
                <w:szCs w:val="24"/>
              </w:rPr>
              <w:t>Toronto, ON  M5H 3E5</w:t>
            </w:r>
          </w:p>
        </w:tc>
      </w:tr>
      <w:tr w:rsidR="00B226F3" w:rsidRPr="00DB384A" w:rsidTr="00305C60">
        <w:tc>
          <w:tcPr>
            <w:tcW w:w="5958" w:type="dxa"/>
          </w:tcPr>
          <w:p w:rsidR="00B226F3" w:rsidRPr="00DB384A" w:rsidRDefault="00B226F3" w:rsidP="004251D7">
            <w:pPr>
              <w:spacing w:after="120" w:line="240" w:lineRule="auto"/>
              <w:rPr>
                <w:b/>
                <w:sz w:val="24"/>
                <w:szCs w:val="24"/>
                <w:lang w:val="fr-CA"/>
              </w:rPr>
            </w:pPr>
            <w:r w:rsidRPr="00DB384A">
              <w:rPr>
                <w:b/>
                <w:sz w:val="24"/>
                <w:szCs w:val="24"/>
                <w:lang w:val="fr-CA"/>
              </w:rPr>
              <w:t>RENÉE PELLETIER (LSUC No.</w:t>
            </w:r>
            <w:r w:rsidR="00734CE1" w:rsidRPr="00DB384A">
              <w:rPr>
                <w:sz w:val="24"/>
                <w:szCs w:val="24"/>
                <w:lang w:val="fr-CA"/>
              </w:rPr>
              <w:t xml:space="preserve"> </w:t>
            </w:r>
            <w:r w:rsidR="00734CE1" w:rsidRPr="00DB384A">
              <w:rPr>
                <w:rStyle w:val="Prompt"/>
                <w:b/>
                <w:color w:val="auto"/>
                <w:sz w:val="24"/>
                <w:szCs w:val="24"/>
                <w:lang w:val="fr-CA"/>
              </w:rPr>
              <w:t>46966N</w:t>
            </w:r>
            <w:r w:rsidRPr="00DB384A">
              <w:rPr>
                <w:b/>
                <w:sz w:val="24"/>
                <w:szCs w:val="24"/>
                <w:lang w:val="fr-CA"/>
              </w:rPr>
              <w:t>)</w:t>
            </w:r>
          </w:p>
        </w:tc>
      </w:tr>
      <w:tr w:rsidR="00B226F3" w:rsidRPr="00DB384A" w:rsidTr="00305C60">
        <w:tc>
          <w:tcPr>
            <w:tcW w:w="5958" w:type="dxa"/>
          </w:tcPr>
          <w:p w:rsidR="00B226F3" w:rsidRPr="00DB384A" w:rsidRDefault="00B226F3" w:rsidP="004251D7">
            <w:pPr>
              <w:spacing w:after="120" w:line="240" w:lineRule="auto"/>
              <w:rPr>
                <w:b/>
                <w:sz w:val="24"/>
                <w:szCs w:val="24"/>
              </w:rPr>
            </w:pPr>
            <w:r w:rsidRPr="00DB384A">
              <w:rPr>
                <w:b/>
                <w:sz w:val="24"/>
                <w:szCs w:val="24"/>
              </w:rPr>
              <w:t>KRISTA NERLAND (LSUC No. 67574L)</w:t>
            </w:r>
          </w:p>
        </w:tc>
      </w:tr>
      <w:tr w:rsidR="00B226F3" w:rsidRPr="00DB384A" w:rsidTr="00305C60">
        <w:tc>
          <w:tcPr>
            <w:tcW w:w="5958" w:type="dxa"/>
          </w:tcPr>
          <w:p w:rsidR="00B226F3" w:rsidRPr="00DB384A" w:rsidRDefault="00B226F3" w:rsidP="004251D7">
            <w:pPr>
              <w:spacing w:after="120" w:line="240" w:lineRule="auto"/>
              <w:rPr>
                <w:sz w:val="24"/>
                <w:szCs w:val="24"/>
              </w:rPr>
            </w:pPr>
            <w:r w:rsidRPr="00DB384A">
              <w:rPr>
                <w:sz w:val="24"/>
                <w:szCs w:val="24"/>
              </w:rPr>
              <w:t>Tel:  (416) 981-9356</w:t>
            </w:r>
          </w:p>
        </w:tc>
      </w:tr>
      <w:tr w:rsidR="00B226F3" w:rsidRPr="00DB384A" w:rsidTr="00305C60">
        <w:tc>
          <w:tcPr>
            <w:tcW w:w="5958" w:type="dxa"/>
          </w:tcPr>
          <w:p w:rsidR="00B226F3" w:rsidRPr="00DB384A" w:rsidRDefault="00B226F3" w:rsidP="004251D7">
            <w:pPr>
              <w:spacing w:after="120" w:line="240" w:lineRule="auto"/>
              <w:rPr>
                <w:sz w:val="24"/>
                <w:szCs w:val="24"/>
              </w:rPr>
            </w:pPr>
            <w:r w:rsidRPr="00DB384A">
              <w:rPr>
                <w:sz w:val="24"/>
                <w:szCs w:val="24"/>
              </w:rPr>
              <w:t>Fax:  (416) 981-9350</w:t>
            </w:r>
          </w:p>
        </w:tc>
      </w:tr>
      <w:tr w:rsidR="00B226F3" w:rsidRPr="00DB384A" w:rsidTr="00305C60">
        <w:tc>
          <w:tcPr>
            <w:tcW w:w="5958" w:type="dxa"/>
          </w:tcPr>
          <w:p w:rsidR="00B226F3" w:rsidRPr="00DB384A" w:rsidRDefault="00B226F3" w:rsidP="004251D7">
            <w:pPr>
              <w:spacing w:after="120" w:line="240" w:lineRule="auto"/>
              <w:rPr>
                <w:sz w:val="24"/>
                <w:szCs w:val="24"/>
              </w:rPr>
            </w:pPr>
            <w:r w:rsidRPr="00DB384A">
              <w:rPr>
                <w:sz w:val="24"/>
                <w:szCs w:val="24"/>
              </w:rPr>
              <w:t>Counsel for the Proposed Intervener</w:t>
            </w:r>
          </w:p>
        </w:tc>
      </w:tr>
      <w:tr w:rsidR="00B226F3" w:rsidRPr="00DB384A" w:rsidTr="00305C60">
        <w:tc>
          <w:tcPr>
            <w:tcW w:w="5958" w:type="dxa"/>
          </w:tcPr>
          <w:p w:rsidR="00B226F3" w:rsidRPr="00DB384A" w:rsidRDefault="00B226F3" w:rsidP="004251D7">
            <w:pPr>
              <w:spacing w:after="120" w:line="240" w:lineRule="auto"/>
              <w:rPr>
                <w:b/>
                <w:sz w:val="24"/>
                <w:szCs w:val="24"/>
              </w:rPr>
            </w:pPr>
            <w:r w:rsidRPr="00DB384A">
              <w:rPr>
                <w:b/>
                <w:sz w:val="24"/>
                <w:szCs w:val="24"/>
              </w:rPr>
              <w:t xml:space="preserve">Women’s Legal Education and Action Fund </w:t>
            </w:r>
          </w:p>
        </w:tc>
      </w:tr>
    </w:tbl>
    <w:p w:rsidR="002C4084" w:rsidRPr="00B93C82" w:rsidRDefault="002C4084" w:rsidP="004251D7">
      <w:pPr>
        <w:spacing w:after="120"/>
        <w:rPr>
          <w:sz w:val="24"/>
          <w:szCs w:val="24"/>
        </w:rPr>
        <w:sectPr w:rsidR="002C4084" w:rsidRPr="00B93C82" w:rsidSect="002021FA">
          <w:footerReference w:type="default" r:id="rId18"/>
          <w:pgSz w:w="12240" w:h="15840" w:code="1"/>
          <w:pgMar w:top="1440" w:right="1440" w:bottom="1440" w:left="1620" w:header="432" w:footer="720" w:gutter="0"/>
          <w:paperSrc w:first="15" w:other="15"/>
          <w:pgNumType w:start="1"/>
          <w:cols w:space="720"/>
          <w:docGrid w:linePitch="360"/>
        </w:sectPr>
      </w:pPr>
      <w:bookmarkStart w:id="0" w:name="_Toc410974823"/>
    </w:p>
    <w:p w:rsidR="002C4084" w:rsidRPr="00B93C82" w:rsidRDefault="002C4084" w:rsidP="00246980">
      <w:pPr>
        <w:pStyle w:val="Addenda"/>
        <w:spacing w:after="120"/>
        <w:rPr>
          <w:rFonts w:ascii="Times New Roman" w:hAnsi="Times New Roman" w:cs="Times New Roman"/>
          <w:sz w:val="24"/>
          <w:szCs w:val="24"/>
        </w:rPr>
      </w:pPr>
      <w:bookmarkStart w:id="1" w:name="_Toc171402351"/>
      <w:r w:rsidRPr="00B93C82">
        <w:rPr>
          <w:rFonts w:ascii="Times New Roman" w:hAnsi="Times New Roman" w:cs="Times New Roman"/>
          <w:sz w:val="24"/>
          <w:szCs w:val="24"/>
        </w:rPr>
        <w:lastRenderedPageBreak/>
        <w:t>SCHEDULE “A”</w:t>
      </w:r>
      <w:r w:rsidRPr="00B93C82">
        <w:rPr>
          <w:rFonts w:ascii="Times New Roman" w:hAnsi="Times New Roman" w:cs="Times New Roman"/>
          <w:sz w:val="24"/>
          <w:szCs w:val="24"/>
        </w:rPr>
        <w:br/>
        <w:t>LIST OF AUTHORITIES</w:t>
      </w:r>
      <w:bookmarkEnd w:id="0"/>
      <w:bookmarkEnd w:id="1"/>
    </w:p>
    <w:p w:rsidR="00F7586B" w:rsidRDefault="00F7586B" w:rsidP="00D65C93">
      <w:pPr>
        <w:spacing w:after="360" w:line="240" w:lineRule="auto"/>
        <w:rPr>
          <w:b/>
          <w:sz w:val="24"/>
          <w:szCs w:val="24"/>
        </w:rPr>
      </w:pPr>
    </w:p>
    <w:p w:rsidR="00D65C93" w:rsidRPr="00D65C93" w:rsidRDefault="008863BD" w:rsidP="00FD6DC4">
      <w:pPr>
        <w:spacing w:after="360" w:line="240" w:lineRule="auto"/>
        <w:ind w:left="-720"/>
        <w:rPr>
          <w:b/>
          <w:sz w:val="24"/>
          <w:szCs w:val="24"/>
        </w:rPr>
      </w:pPr>
      <w:r>
        <w:rPr>
          <w:b/>
          <w:sz w:val="24"/>
          <w:szCs w:val="24"/>
        </w:rPr>
        <w:t>Canadian Case Law</w:t>
      </w:r>
    </w:p>
    <w:p w:rsidR="00D65C93" w:rsidRPr="00D65C93" w:rsidRDefault="00D65C93" w:rsidP="00FD6DC4">
      <w:pPr>
        <w:spacing w:after="360" w:line="240" w:lineRule="auto"/>
        <w:ind w:left="-720"/>
        <w:rPr>
          <w:sz w:val="24"/>
          <w:szCs w:val="24"/>
        </w:rPr>
      </w:pPr>
      <w:r w:rsidRPr="00D65C93">
        <w:rPr>
          <w:i/>
          <w:sz w:val="24"/>
          <w:szCs w:val="24"/>
        </w:rPr>
        <w:t>Andrews v Law Society of British Columbia</w:t>
      </w:r>
      <w:r w:rsidRPr="00D65C93">
        <w:rPr>
          <w:sz w:val="24"/>
          <w:szCs w:val="24"/>
        </w:rPr>
        <w:t xml:space="preserve">, [1989] 1 SCR 143  </w:t>
      </w:r>
    </w:p>
    <w:p w:rsidR="00D65C93" w:rsidRPr="00D65C93" w:rsidRDefault="00D65C93" w:rsidP="00FD6DC4">
      <w:pPr>
        <w:spacing w:after="360" w:line="240" w:lineRule="auto"/>
        <w:ind w:left="-720"/>
        <w:rPr>
          <w:sz w:val="24"/>
          <w:szCs w:val="24"/>
        </w:rPr>
      </w:pPr>
      <w:r w:rsidRPr="00D65C93">
        <w:rPr>
          <w:i/>
          <w:sz w:val="24"/>
          <w:szCs w:val="24"/>
        </w:rPr>
        <w:t>Baker v Canada (Minister of Citizenship and Immigration),</w:t>
      </w:r>
      <w:r w:rsidRPr="00D65C93">
        <w:rPr>
          <w:sz w:val="24"/>
          <w:szCs w:val="24"/>
        </w:rPr>
        <w:t xml:space="preserve"> [1999] 2 SCR 817</w:t>
      </w:r>
    </w:p>
    <w:p w:rsidR="00D65C93" w:rsidRPr="00D65C93" w:rsidRDefault="00D65C93" w:rsidP="00FD6DC4">
      <w:pPr>
        <w:spacing w:after="360" w:line="240" w:lineRule="auto"/>
        <w:ind w:left="-720"/>
        <w:rPr>
          <w:sz w:val="24"/>
          <w:szCs w:val="24"/>
        </w:rPr>
      </w:pPr>
      <w:r w:rsidRPr="00D65C93">
        <w:rPr>
          <w:i/>
          <w:sz w:val="24"/>
          <w:szCs w:val="24"/>
        </w:rPr>
        <w:t>Bliss v. Attorney General of Canada</w:t>
      </w:r>
      <w:r w:rsidRPr="00D65C93">
        <w:rPr>
          <w:sz w:val="24"/>
          <w:szCs w:val="24"/>
        </w:rPr>
        <w:t xml:space="preserve">, [1979] 1 SCR 1283 </w:t>
      </w:r>
    </w:p>
    <w:p w:rsidR="00D65C93" w:rsidRPr="00D65C93" w:rsidRDefault="00D65C93" w:rsidP="00FD6DC4">
      <w:pPr>
        <w:spacing w:after="360" w:line="240" w:lineRule="auto"/>
        <w:ind w:left="-720"/>
        <w:rPr>
          <w:sz w:val="24"/>
          <w:szCs w:val="24"/>
        </w:rPr>
      </w:pPr>
      <w:r w:rsidRPr="00D65C93">
        <w:rPr>
          <w:i/>
          <w:sz w:val="24"/>
          <w:szCs w:val="24"/>
        </w:rPr>
        <w:t>British Columbia (Public Service Employee Relations Commission) v BCGSEU</w:t>
      </w:r>
      <w:r w:rsidRPr="00D65C93">
        <w:rPr>
          <w:sz w:val="24"/>
          <w:szCs w:val="24"/>
        </w:rPr>
        <w:t>, [1999] 3 SCR 3</w:t>
      </w:r>
    </w:p>
    <w:p w:rsidR="00D65C93" w:rsidRPr="00D65C93" w:rsidRDefault="00D65C93" w:rsidP="00FD6DC4">
      <w:pPr>
        <w:spacing w:after="360" w:line="240" w:lineRule="auto"/>
        <w:ind w:left="-720"/>
        <w:rPr>
          <w:sz w:val="24"/>
          <w:szCs w:val="24"/>
        </w:rPr>
      </w:pPr>
      <w:r w:rsidRPr="00D65C93">
        <w:rPr>
          <w:i/>
          <w:sz w:val="24"/>
          <w:szCs w:val="24"/>
        </w:rPr>
        <w:t>Corbiere v Canada (Minister of Indian and Northern Affairs),</w:t>
      </w:r>
      <w:r w:rsidRPr="00D65C93">
        <w:rPr>
          <w:sz w:val="24"/>
          <w:szCs w:val="24"/>
        </w:rPr>
        <w:t xml:space="preserve"> [1999] 2 SCR 203</w:t>
      </w:r>
    </w:p>
    <w:p w:rsidR="00D65C93" w:rsidRPr="00D65C93" w:rsidRDefault="00D65C93" w:rsidP="00FD6DC4">
      <w:pPr>
        <w:spacing w:after="360" w:line="240" w:lineRule="auto"/>
        <w:ind w:left="-720"/>
        <w:rPr>
          <w:sz w:val="24"/>
          <w:szCs w:val="24"/>
        </w:rPr>
      </w:pPr>
      <w:r w:rsidRPr="00D65C93">
        <w:rPr>
          <w:i/>
          <w:sz w:val="24"/>
          <w:szCs w:val="24"/>
        </w:rPr>
        <w:t>Descheneaux v Canada (Procureur Général)</w:t>
      </w:r>
      <w:r w:rsidRPr="00D65C93">
        <w:rPr>
          <w:sz w:val="24"/>
          <w:szCs w:val="24"/>
        </w:rPr>
        <w:t>, 2015 QCCS 3555</w:t>
      </w:r>
    </w:p>
    <w:p w:rsidR="00D65C93" w:rsidRPr="00D65C93" w:rsidRDefault="00D65C93" w:rsidP="00FD6DC4">
      <w:pPr>
        <w:spacing w:after="360" w:line="240" w:lineRule="auto"/>
        <w:ind w:left="-720"/>
        <w:rPr>
          <w:sz w:val="24"/>
          <w:szCs w:val="24"/>
        </w:rPr>
      </w:pPr>
      <w:r w:rsidRPr="00D65C93">
        <w:rPr>
          <w:i/>
          <w:sz w:val="24"/>
          <w:szCs w:val="24"/>
        </w:rPr>
        <w:t>Eldridge v British Columbia (Attorney General)</w:t>
      </w:r>
      <w:r w:rsidRPr="00D65C93">
        <w:rPr>
          <w:sz w:val="24"/>
          <w:szCs w:val="24"/>
        </w:rPr>
        <w:t>, 1997 3 SCR 624</w:t>
      </w:r>
    </w:p>
    <w:p w:rsidR="00D65C93" w:rsidRPr="00D65C93" w:rsidRDefault="00D65C93" w:rsidP="00FD6DC4">
      <w:pPr>
        <w:spacing w:after="360" w:line="240" w:lineRule="auto"/>
        <w:ind w:left="-720"/>
        <w:rPr>
          <w:sz w:val="24"/>
          <w:szCs w:val="24"/>
        </w:rPr>
      </w:pPr>
      <w:r w:rsidRPr="00957617">
        <w:rPr>
          <w:i/>
          <w:sz w:val="24"/>
          <w:szCs w:val="24"/>
        </w:rPr>
        <w:t>Kahkewistahaw First Nation v Taypotat</w:t>
      </w:r>
      <w:r w:rsidRPr="00D65C93">
        <w:rPr>
          <w:sz w:val="24"/>
          <w:szCs w:val="24"/>
        </w:rPr>
        <w:t xml:space="preserve">, [2015] 2 SCR 548, 2015 SCC 30 </w:t>
      </w:r>
    </w:p>
    <w:p w:rsidR="00D65C93" w:rsidRPr="00D65C93" w:rsidRDefault="00D65C93" w:rsidP="00FD6DC4">
      <w:pPr>
        <w:spacing w:after="360" w:line="240" w:lineRule="auto"/>
        <w:ind w:left="-720"/>
        <w:rPr>
          <w:sz w:val="24"/>
          <w:szCs w:val="24"/>
        </w:rPr>
      </w:pPr>
      <w:r w:rsidRPr="00957617">
        <w:rPr>
          <w:i/>
          <w:sz w:val="24"/>
          <w:szCs w:val="24"/>
        </w:rPr>
        <w:t>M v H</w:t>
      </w:r>
      <w:r w:rsidRPr="00D65C93">
        <w:rPr>
          <w:sz w:val="24"/>
          <w:szCs w:val="24"/>
        </w:rPr>
        <w:t>, [1999] 2 SCR 3</w:t>
      </w:r>
    </w:p>
    <w:p w:rsidR="00D65C93" w:rsidRPr="00D65C93" w:rsidRDefault="00D65C93" w:rsidP="00FD6DC4">
      <w:pPr>
        <w:spacing w:after="360" w:line="240" w:lineRule="auto"/>
        <w:ind w:left="-720"/>
        <w:rPr>
          <w:sz w:val="24"/>
          <w:szCs w:val="24"/>
        </w:rPr>
      </w:pPr>
      <w:r w:rsidRPr="00957617">
        <w:rPr>
          <w:i/>
          <w:sz w:val="24"/>
          <w:szCs w:val="24"/>
        </w:rPr>
        <w:t>Martin v Chapman</w:t>
      </w:r>
      <w:r w:rsidRPr="00D65C93">
        <w:rPr>
          <w:sz w:val="24"/>
          <w:szCs w:val="24"/>
        </w:rPr>
        <w:t xml:space="preserve">, [1983] 1 SCR 365 </w:t>
      </w:r>
    </w:p>
    <w:p w:rsidR="00D65C93" w:rsidRPr="00D65C93" w:rsidRDefault="00D65C93" w:rsidP="00FD6DC4">
      <w:pPr>
        <w:spacing w:after="360" w:line="240" w:lineRule="auto"/>
        <w:ind w:left="-720"/>
        <w:rPr>
          <w:sz w:val="24"/>
          <w:szCs w:val="24"/>
        </w:rPr>
      </w:pPr>
      <w:r w:rsidRPr="00957617">
        <w:rPr>
          <w:i/>
          <w:sz w:val="24"/>
          <w:szCs w:val="24"/>
        </w:rPr>
        <w:t>McIvor v Canada (Registrar of Indian and Northern Affairs)</w:t>
      </w:r>
      <w:r w:rsidRPr="00957617">
        <w:rPr>
          <w:sz w:val="24"/>
          <w:szCs w:val="24"/>
        </w:rPr>
        <w:t xml:space="preserve">, </w:t>
      </w:r>
      <w:r w:rsidRPr="00D65C93">
        <w:rPr>
          <w:sz w:val="24"/>
          <w:szCs w:val="24"/>
        </w:rPr>
        <w:t>2009 BCCA 153</w:t>
      </w:r>
    </w:p>
    <w:p w:rsidR="00D65C93" w:rsidRPr="00D65C93" w:rsidRDefault="00D65C93" w:rsidP="00FD6DC4">
      <w:pPr>
        <w:spacing w:after="360" w:line="240" w:lineRule="auto"/>
        <w:ind w:left="-720"/>
        <w:rPr>
          <w:sz w:val="24"/>
          <w:szCs w:val="24"/>
        </w:rPr>
      </w:pPr>
      <w:r w:rsidRPr="00957617">
        <w:rPr>
          <w:i/>
          <w:sz w:val="24"/>
          <w:szCs w:val="24"/>
        </w:rPr>
        <w:t>McIvor v The Registrar, Indian and Northern Affairs Canada</w:t>
      </w:r>
      <w:r w:rsidR="00957617">
        <w:rPr>
          <w:sz w:val="24"/>
          <w:szCs w:val="24"/>
        </w:rPr>
        <w:t>,</w:t>
      </w:r>
      <w:r w:rsidRPr="00D65C93">
        <w:rPr>
          <w:sz w:val="24"/>
          <w:szCs w:val="24"/>
        </w:rPr>
        <w:t xml:space="preserve"> 2007 BCSC 827</w:t>
      </w:r>
    </w:p>
    <w:p w:rsidR="00D65C93" w:rsidRPr="00D65C93" w:rsidRDefault="00D65C93" w:rsidP="00FD6DC4">
      <w:pPr>
        <w:spacing w:after="360" w:line="240" w:lineRule="auto"/>
        <w:ind w:left="-720"/>
        <w:rPr>
          <w:sz w:val="24"/>
          <w:szCs w:val="24"/>
        </w:rPr>
      </w:pPr>
      <w:r w:rsidRPr="00957617">
        <w:rPr>
          <w:i/>
          <w:sz w:val="24"/>
          <w:szCs w:val="24"/>
        </w:rPr>
        <w:t>Miron v Trudel</w:t>
      </w:r>
      <w:r w:rsidRPr="00D65C93">
        <w:rPr>
          <w:sz w:val="24"/>
          <w:szCs w:val="24"/>
        </w:rPr>
        <w:t>, [1995] 2 SCR 418, 1995 CanLII 97 (SCC)</w:t>
      </w:r>
    </w:p>
    <w:p w:rsidR="00D65C93" w:rsidRPr="00D65C93" w:rsidRDefault="00D65C93" w:rsidP="00FD6DC4">
      <w:pPr>
        <w:spacing w:after="360" w:line="240" w:lineRule="auto"/>
        <w:ind w:left="-720"/>
        <w:rPr>
          <w:sz w:val="24"/>
          <w:szCs w:val="24"/>
        </w:rPr>
      </w:pPr>
      <w:r w:rsidRPr="00957617">
        <w:rPr>
          <w:i/>
          <w:sz w:val="24"/>
          <w:szCs w:val="24"/>
        </w:rPr>
        <w:t>Mitchell v Peguis</w:t>
      </w:r>
      <w:r w:rsidR="00957617">
        <w:rPr>
          <w:sz w:val="24"/>
          <w:szCs w:val="24"/>
        </w:rPr>
        <w:t>,</w:t>
      </w:r>
      <w:r w:rsidRPr="00D65C93">
        <w:rPr>
          <w:sz w:val="24"/>
          <w:szCs w:val="24"/>
        </w:rPr>
        <w:t xml:space="preserve"> [1990] 2 SCR 85</w:t>
      </w:r>
    </w:p>
    <w:p w:rsidR="00D65C93" w:rsidRPr="00D65C93" w:rsidRDefault="00D65C93" w:rsidP="00FD6DC4">
      <w:pPr>
        <w:spacing w:after="360" w:line="240" w:lineRule="auto"/>
        <w:ind w:left="-720"/>
        <w:rPr>
          <w:sz w:val="24"/>
          <w:szCs w:val="24"/>
        </w:rPr>
      </w:pPr>
      <w:r w:rsidRPr="00957617">
        <w:rPr>
          <w:i/>
          <w:sz w:val="24"/>
          <w:szCs w:val="24"/>
        </w:rPr>
        <w:t>Nowegijick v The Queen</w:t>
      </w:r>
      <w:r w:rsidRPr="00D65C93">
        <w:rPr>
          <w:sz w:val="24"/>
          <w:szCs w:val="24"/>
        </w:rPr>
        <w:t>, [1983] 1 SCR 29</w:t>
      </w:r>
    </w:p>
    <w:p w:rsidR="00D65C93" w:rsidRPr="00D65C93" w:rsidRDefault="00D65C93" w:rsidP="00FD6DC4">
      <w:pPr>
        <w:spacing w:after="360" w:line="240" w:lineRule="auto"/>
        <w:ind w:left="-720"/>
        <w:rPr>
          <w:sz w:val="24"/>
          <w:szCs w:val="24"/>
        </w:rPr>
      </w:pPr>
      <w:r w:rsidRPr="00957617">
        <w:rPr>
          <w:i/>
          <w:sz w:val="24"/>
          <w:szCs w:val="24"/>
        </w:rPr>
        <w:t>Quebec v A</w:t>
      </w:r>
      <w:r w:rsidRPr="00D65C93">
        <w:rPr>
          <w:sz w:val="24"/>
          <w:szCs w:val="24"/>
        </w:rPr>
        <w:t>, [2013] 1 SCR 61, 2013 SCC 5</w:t>
      </w:r>
    </w:p>
    <w:p w:rsidR="00D65C93" w:rsidRPr="00D65C93" w:rsidRDefault="00D65C93" w:rsidP="00FD6DC4">
      <w:pPr>
        <w:spacing w:after="360" w:line="240" w:lineRule="auto"/>
        <w:ind w:left="-720"/>
        <w:rPr>
          <w:sz w:val="24"/>
          <w:szCs w:val="24"/>
        </w:rPr>
      </w:pPr>
      <w:r w:rsidRPr="00957617">
        <w:rPr>
          <w:i/>
          <w:sz w:val="24"/>
          <w:szCs w:val="24"/>
        </w:rPr>
        <w:t>R v Edward Books</w:t>
      </w:r>
      <w:r w:rsidRPr="00D65C93">
        <w:rPr>
          <w:sz w:val="24"/>
          <w:szCs w:val="24"/>
        </w:rPr>
        <w:t>, [1986] 2 SCR 173</w:t>
      </w:r>
    </w:p>
    <w:p w:rsidR="00D65C93" w:rsidRPr="00D65C93" w:rsidRDefault="00D65C93" w:rsidP="00FD6DC4">
      <w:pPr>
        <w:spacing w:after="360" w:line="240" w:lineRule="auto"/>
        <w:ind w:left="-720"/>
        <w:rPr>
          <w:sz w:val="24"/>
          <w:szCs w:val="24"/>
        </w:rPr>
      </w:pPr>
      <w:r w:rsidRPr="00957617">
        <w:rPr>
          <w:i/>
          <w:sz w:val="24"/>
          <w:szCs w:val="24"/>
        </w:rPr>
        <w:lastRenderedPageBreak/>
        <w:t>R v Gladue</w:t>
      </w:r>
      <w:r w:rsidRPr="00D65C93">
        <w:rPr>
          <w:sz w:val="24"/>
          <w:szCs w:val="24"/>
        </w:rPr>
        <w:t>, [1999] 1 SCR 688</w:t>
      </w:r>
    </w:p>
    <w:p w:rsidR="00D65C93" w:rsidRPr="00D65C93" w:rsidRDefault="00D65C93" w:rsidP="00FD6DC4">
      <w:pPr>
        <w:spacing w:after="360" w:line="240" w:lineRule="auto"/>
        <w:ind w:left="-720"/>
        <w:rPr>
          <w:sz w:val="24"/>
          <w:szCs w:val="24"/>
        </w:rPr>
      </w:pPr>
      <w:r w:rsidRPr="00957617">
        <w:rPr>
          <w:i/>
          <w:sz w:val="24"/>
          <w:szCs w:val="24"/>
        </w:rPr>
        <w:t>R v Hape</w:t>
      </w:r>
      <w:r w:rsidRPr="00D65C93">
        <w:rPr>
          <w:sz w:val="24"/>
          <w:szCs w:val="24"/>
        </w:rPr>
        <w:t>, [2007] 2 SCR 292, 2007 SCC 26</w:t>
      </w:r>
    </w:p>
    <w:p w:rsidR="00D65C93" w:rsidRPr="00D65C93" w:rsidRDefault="00D65C93" w:rsidP="00FD6DC4">
      <w:pPr>
        <w:spacing w:after="360" w:line="240" w:lineRule="auto"/>
        <w:ind w:left="-720"/>
        <w:rPr>
          <w:sz w:val="24"/>
          <w:szCs w:val="24"/>
        </w:rPr>
      </w:pPr>
      <w:r w:rsidRPr="00957617">
        <w:rPr>
          <w:i/>
          <w:sz w:val="24"/>
          <w:szCs w:val="24"/>
        </w:rPr>
        <w:t>R v Oakes</w:t>
      </w:r>
      <w:r w:rsidRPr="00D65C93">
        <w:rPr>
          <w:sz w:val="24"/>
          <w:szCs w:val="24"/>
        </w:rPr>
        <w:t>, [1986] 1 SCR 103</w:t>
      </w:r>
    </w:p>
    <w:p w:rsidR="00D65C93" w:rsidRPr="00D65C93" w:rsidRDefault="00D65C93" w:rsidP="00FD6DC4">
      <w:pPr>
        <w:spacing w:after="360" w:line="240" w:lineRule="auto"/>
        <w:ind w:left="-720"/>
        <w:rPr>
          <w:sz w:val="24"/>
          <w:szCs w:val="24"/>
        </w:rPr>
      </w:pPr>
      <w:r w:rsidRPr="00957617">
        <w:rPr>
          <w:i/>
          <w:sz w:val="24"/>
          <w:szCs w:val="24"/>
        </w:rPr>
        <w:t>R v Turpin</w:t>
      </w:r>
      <w:r w:rsidRPr="00D65C93">
        <w:rPr>
          <w:sz w:val="24"/>
          <w:szCs w:val="24"/>
        </w:rPr>
        <w:t>, [1989] 1 SCR 1296</w:t>
      </w:r>
    </w:p>
    <w:p w:rsidR="00D65C93" w:rsidRPr="00D65C93" w:rsidRDefault="00D65C93" w:rsidP="00FD6DC4">
      <w:pPr>
        <w:spacing w:after="360" w:line="240" w:lineRule="auto"/>
        <w:ind w:left="-720"/>
        <w:rPr>
          <w:sz w:val="24"/>
          <w:szCs w:val="24"/>
        </w:rPr>
      </w:pPr>
      <w:r w:rsidRPr="00957617">
        <w:rPr>
          <w:i/>
          <w:sz w:val="24"/>
          <w:szCs w:val="24"/>
        </w:rPr>
        <w:t>Slaight Communications Inc. v. Davidson</w:t>
      </w:r>
      <w:r w:rsidRPr="00D65C93">
        <w:rPr>
          <w:sz w:val="24"/>
          <w:szCs w:val="24"/>
        </w:rPr>
        <w:t>, [1989] 1 SCR 529</w:t>
      </w:r>
    </w:p>
    <w:p w:rsidR="00D65C93" w:rsidRPr="00D65C93" w:rsidRDefault="00D65C93" w:rsidP="00FD6DC4">
      <w:pPr>
        <w:spacing w:after="360" w:line="240" w:lineRule="auto"/>
        <w:ind w:left="-720"/>
        <w:rPr>
          <w:sz w:val="24"/>
          <w:szCs w:val="24"/>
        </w:rPr>
      </w:pPr>
      <w:r w:rsidRPr="00957617">
        <w:rPr>
          <w:i/>
          <w:sz w:val="24"/>
          <w:szCs w:val="24"/>
        </w:rPr>
        <w:t>Withler v Canada (Attorney General)</w:t>
      </w:r>
      <w:r w:rsidR="00277C27">
        <w:rPr>
          <w:sz w:val="24"/>
          <w:szCs w:val="24"/>
        </w:rPr>
        <w:t>, [2011] 1 SCR 396, 2011 SCC 12</w:t>
      </w:r>
    </w:p>
    <w:p w:rsidR="00D65C93" w:rsidRPr="00D65C93" w:rsidRDefault="00D65C93" w:rsidP="00FD6DC4">
      <w:pPr>
        <w:spacing w:after="360" w:line="240" w:lineRule="auto"/>
        <w:ind w:left="-720"/>
        <w:rPr>
          <w:b/>
          <w:sz w:val="24"/>
          <w:szCs w:val="24"/>
        </w:rPr>
      </w:pPr>
      <w:r w:rsidRPr="00D65C93">
        <w:rPr>
          <w:b/>
          <w:sz w:val="24"/>
          <w:szCs w:val="24"/>
        </w:rPr>
        <w:t>Secondary Sources</w:t>
      </w:r>
    </w:p>
    <w:p w:rsidR="00481666" w:rsidRDefault="00464E8B" w:rsidP="00FD6DC4">
      <w:pPr>
        <w:spacing w:after="360" w:line="240" w:lineRule="auto"/>
        <w:ind w:left="-720"/>
        <w:rPr>
          <w:sz w:val="24"/>
          <w:szCs w:val="24"/>
        </w:rPr>
      </w:pPr>
      <w:r w:rsidRPr="00464E8B">
        <w:rPr>
          <w:sz w:val="24"/>
          <w:szCs w:val="24"/>
        </w:rPr>
        <w:t>Aboriginal Affairs and Northern Development Canada</w:t>
      </w:r>
      <w:proofErr w:type="gramStart"/>
      <w:r w:rsidRPr="00464E8B">
        <w:rPr>
          <w:sz w:val="24"/>
          <w:szCs w:val="24"/>
        </w:rPr>
        <w:t xml:space="preserve">, </w:t>
      </w:r>
      <w:r w:rsidRPr="00464E8B">
        <w:rPr>
          <w:i/>
          <w:sz w:val="24"/>
          <w:szCs w:val="24"/>
        </w:rPr>
        <w:t xml:space="preserve"> </w:t>
      </w:r>
      <w:r w:rsidR="00481666" w:rsidRPr="00464E8B">
        <w:rPr>
          <w:i/>
          <w:sz w:val="24"/>
          <w:szCs w:val="24"/>
        </w:rPr>
        <w:t>Aboriginal</w:t>
      </w:r>
      <w:proofErr w:type="gramEnd"/>
      <w:r w:rsidR="00481666" w:rsidRPr="00464E8B">
        <w:rPr>
          <w:i/>
          <w:sz w:val="24"/>
          <w:szCs w:val="24"/>
        </w:rPr>
        <w:t xml:space="preserve"> Women in Canada: A Statistical Profile from the 2006 Census</w:t>
      </w:r>
      <w:r w:rsidR="00481666" w:rsidRPr="00464E8B">
        <w:rPr>
          <w:sz w:val="24"/>
          <w:szCs w:val="24"/>
        </w:rPr>
        <w:t>, (</w:t>
      </w:r>
      <w:r w:rsidRPr="00464E8B">
        <w:rPr>
          <w:sz w:val="24"/>
          <w:szCs w:val="24"/>
        </w:rPr>
        <w:t xml:space="preserve">Ottawa: </w:t>
      </w:r>
      <w:r>
        <w:rPr>
          <w:sz w:val="24"/>
          <w:szCs w:val="24"/>
        </w:rPr>
        <w:t>Aboriginal Affairs and Northern Development Canada</w:t>
      </w:r>
      <w:r w:rsidRPr="00464E8B">
        <w:rPr>
          <w:sz w:val="24"/>
          <w:szCs w:val="24"/>
        </w:rPr>
        <w:t xml:space="preserve">, </w:t>
      </w:r>
      <w:r w:rsidR="00481666" w:rsidRPr="00464E8B">
        <w:rPr>
          <w:sz w:val="24"/>
          <w:szCs w:val="24"/>
        </w:rPr>
        <w:t>2012)</w:t>
      </w:r>
    </w:p>
    <w:p w:rsidR="00D65C93" w:rsidRPr="00D65C93" w:rsidRDefault="00D65C93" w:rsidP="00FD6DC4">
      <w:pPr>
        <w:spacing w:after="360" w:line="240" w:lineRule="auto"/>
        <w:ind w:left="-720"/>
        <w:rPr>
          <w:sz w:val="24"/>
          <w:szCs w:val="24"/>
        </w:rPr>
      </w:pPr>
      <w:r w:rsidRPr="00D65C93">
        <w:rPr>
          <w:sz w:val="24"/>
          <w:szCs w:val="24"/>
        </w:rPr>
        <w:t>Canadian Centre for Justice Statistics</w:t>
      </w:r>
      <w:proofErr w:type="gramStart"/>
      <w:r w:rsidRPr="00D65C93">
        <w:rPr>
          <w:sz w:val="24"/>
          <w:szCs w:val="24"/>
        </w:rPr>
        <w:t xml:space="preserve">,  </w:t>
      </w:r>
      <w:r w:rsidRPr="00D65C93">
        <w:rPr>
          <w:i/>
          <w:sz w:val="24"/>
          <w:szCs w:val="24"/>
        </w:rPr>
        <w:t>Family</w:t>
      </w:r>
      <w:proofErr w:type="gramEnd"/>
      <w:r w:rsidRPr="00D65C93">
        <w:rPr>
          <w:i/>
          <w:sz w:val="24"/>
          <w:szCs w:val="24"/>
        </w:rPr>
        <w:t xml:space="preserve"> Violence in Canada: A statistical profile, 2013</w:t>
      </w:r>
      <w:r w:rsidRPr="00D65C93">
        <w:rPr>
          <w:sz w:val="24"/>
          <w:szCs w:val="24"/>
        </w:rPr>
        <w:t xml:space="preserve">, </w:t>
      </w:r>
      <w:r w:rsidR="008863BD">
        <w:rPr>
          <w:sz w:val="24"/>
          <w:szCs w:val="24"/>
        </w:rPr>
        <w:t xml:space="preserve">(Ottawa: </w:t>
      </w:r>
      <w:r w:rsidRPr="00D65C93">
        <w:rPr>
          <w:sz w:val="24"/>
          <w:szCs w:val="24"/>
        </w:rPr>
        <w:t>Statistics Canada</w:t>
      </w:r>
      <w:r w:rsidR="008863BD">
        <w:rPr>
          <w:sz w:val="24"/>
          <w:szCs w:val="24"/>
        </w:rPr>
        <w:t>, January 15, 2015)</w:t>
      </w:r>
    </w:p>
    <w:p w:rsidR="00D65C93" w:rsidRPr="00D65C93" w:rsidRDefault="00D65C93" w:rsidP="00FD6DC4">
      <w:pPr>
        <w:spacing w:after="360" w:line="240" w:lineRule="auto"/>
        <w:ind w:left="-720"/>
        <w:rPr>
          <w:sz w:val="24"/>
          <w:szCs w:val="24"/>
        </w:rPr>
      </w:pPr>
      <w:r w:rsidRPr="00D65C93">
        <w:rPr>
          <w:sz w:val="24"/>
          <w:szCs w:val="24"/>
        </w:rPr>
        <w:t>Stuart Clatworthy</w:t>
      </w:r>
      <w:r w:rsidRPr="00D65C93">
        <w:rPr>
          <w:i/>
          <w:sz w:val="24"/>
          <w:szCs w:val="24"/>
        </w:rPr>
        <w:t xml:space="preserve">, Analysis of Select Population Impacts of the 1985 Amendments to the Indian Act (Bill C-31) and Select Hypothetical Amendments to the 1985 Indian Act, </w:t>
      </w:r>
      <w:r w:rsidRPr="00481666">
        <w:rPr>
          <w:sz w:val="24"/>
          <w:szCs w:val="24"/>
        </w:rPr>
        <w:t>(24 April 2013)</w:t>
      </w:r>
      <w:r w:rsidRPr="00D65C93">
        <w:rPr>
          <w:sz w:val="24"/>
          <w:szCs w:val="24"/>
        </w:rPr>
        <w:t>, prepared for the Department of Justice. Joint Motion Record at Tab 27</w:t>
      </w:r>
    </w:p>
    <w:p w:rsidR="00D65C93" w:rsidRDefault="00D65C93" w:rsidP="00FD6DC4">
      <w:pPr>
        <w:spacing w:after="360" w:line="240" w:lineRule="auto"/>
        <w:ind w:left="-720"/>
        <w:rPr>
          <w:sz w:val="24"/>
          <w:szCs w:val="24"/>
        </w:rPr>
      </w:pPr>
      <w:r w:rsidRPr="00D65C93">
        <w:rPr>
          <w:i/>
          <w:sz w:val="24"/>
          <w:szCs w:val="24"/>
        </w:rPr>
        <w:t>Joint Statement of the Parties’ Expert Demographers</w:t>
      </w:r>
      <w:r w:rsidRPr="00D65C93">
        <w:rPr>
          <w:sz w:val="24"/>
          <w:szCs w:val="24"/>
        </w:rPr>
        <w:t>, Stewart Clatworthy and James S. Fideres, signed September 25 &amp; 26, 2013</w:t>
      </w:r>
      <w:r w:rsidR="00F7586B">
        <w:rPr>
          <w:sz w:val="24"/>
          <w:szCs w:val="24"/>
        </w:rPr>
        <w:t>,</w:t>
      </w:r>
      <w:r w:rsidRPr="00D65C93">
        <w:rPr>
          <w:sz w:val="24"/>
          <w:szCs w:val="24"/>
        </w:rPr>
        <w:t xml:space="preserve"> Joint Motion Record at Tab 28</w:t>
      </w:r>
    </w:p>
    <w:p w:rsidR="00C639FF" w:rsidRDefault="00C639FF" w:rsidP="00FD6DC4">
      <w:pPr>
        <w:spacing w:after="360" w:line="240" w:lineRule="auto"/>
        <w:ind w:left="-720"/>
        <w:rPr>
          <w:sz w:val="24"/>
          <w:szCs w:val="24"/>
        </w:rPr>
      </w:pPr>
      <w:r w:rsidRPr="00277C27">
        <w:rPr>
          <w:sz w:val="24"/>
          <w:szCs w:val="24"/>
        </w:rPr>
        <w:t xml:space="preserve">Olthuis, Kleer Townshend LLP, </w:t>
      </w:r>
      <w:r w:rsidRPr="00277C27">
        <w:rPr>
          <w:i/>
          <w:sz w:val="24"/>
          <w:szCs w:val="24"/>
        </w:rPr>
        <w:t>Aboriginal Law Handbook</w:t>
      </w:r>
      <w:r w:rsidRPr="00277C27">
        <w:rPr>
          <w:sz w:val="24"/>
          <w:szCs w:val="24"/>
        </w:rPr>
        <w:t>, 4th Ed (Toronto: Carswell, 2011)</w:t>
      </w:r>
    </w:p>
    <w:p w:rsidR="00FD6DC4" w:rsidRPr="00277C27" w:rsidRDefault="00FD6DC4" w:rsidP="00FD6DC4">
      <w:pPr>
        <w:spacing w:after="360" w:line="240" w:lineRule="auto"/>
        <w:ind w:left="-720"/>
        <w:rPr>
          <w:sz w:val="24"/>
          <w:szCs w:val="24"/>
        </w:rPr>
      </w:pPr>
      <w:r w:rsidRPr="00FD6DC4">
        <w:rPr>
          <w:sz w:val="24"/>
          <w:szCs w:val="24"/>
        </w:rPr>
        <w:t xml:space="preserve">Ruth Sullivan, Sullivan on the Construction of Statutes, 5th </w:t>
      </w:r>
      <w:proofErr w:type="gramStart"/>
      <w:r w:rsidRPr="00FD6DC4">
        <w:rPr>
          <w:sz w:val="24"/>
          <w:szCs w:val="24"/>
        </w:rPr>
        <w:t>ed</w:t>
      </w:r>
      <w:proofErr w:type="gramEnd"/>
      <w:r w:rsidRPr="00FD6DC4">
        <w:rPr>
          <w:sz w:val="24"/>
          <w:szCs w:val="24"/>
        </w:rPr>
        <w:t xml:space="preserve"> (Markham: LexisNexis, 2008) at 539</w:t>
      </w:r>
    </w:p>
    <w:p w:rsidR="00C639FF" w:rsidRPr="00D65C93" w:rsidRDefault="00C639FF" w:rsidP="00FD6DC4">
      <w:pPr>
        <w:spacing w:after="360" w:line="240" w:lineRule="auto"/>
        <w:ind w:left="-720"/>
        <w:rPr>
          <w:sz w:val="24"/>
          <w:szCs w:val="24"/>
        </w:rPr>
      </w:pPr>
      <w:r w:rsidRPr="00277C27">
        <w:rPr>
          <w:sz w:val="24"/>
          <w:szCs w:val="24"/>
        </w:rPr>
        <w:t xml:space="preserve">Sopinka, Lederman, Bryant. </w:t>
      </w:r>
      <w:r w:rsidRPr="00277C27">
        <w:rPr>
          <w:i/>
          <w:sz w:val="24"/>
          <w:szCs w:val="24"/>
        </w:rPr>
        <w:t>The Law of Evidence in Canada</w:t>
      </w:r>
      <w:r w:rsidRPr="00277C27">
        <w:rPr>
          <w:sz w:val="24"/>
          <w:szCs w:val="24"/>
        </w:rPr>
        <w:t>, 2nd</w:t>
      </w:r>
      <w:r>
        <w:rPr>
          <w:sz w:val="24"/>
          <w:szCs w:val="24"/>
        </w:rPr>
        <w:t xml:space="preserve"> Ed (Markham: LexisNexis, 1999)</w:t>
      </w:r>
    </w:p>
    <w:p w:rsidR="00C639FF" w:rsidRPr="00277C27" w:rsidRDefault="00C639FF" w:rsidP="00FD6DC4">
      <w:pPr>
        <w:spacing w:after="360" w:line="240" w:lineRule="auto"/>
        <w:ind w:left="-720"/>
        <w:rPr>
          <w:sz w:val="24"/>
          <w:szCs w:val="24"/>
        </w:rPr>
      </w:pPr>
      <w:r>
        <w:rPr>
          <w:sz w:val="24"/>
          <w:szCs w:val="24"/>
        </w:rPr>
        <w:t>Statistics Canada,</w:t>
      </w:r>
      <w:r w:rsidRPr="00277C27">
        <w:rPr>
          <w:sz w:val="24"/>
          <w:szCs w:val="24"/>
        </w:rPr>
        <w:t xml:space="preserve"> “First Nations, Métis, and Inuit Women,” in </w:t>
      </w:r>
      <w:r w:rsidRPr="00464E8B">
        <w:rPr>
          <w:i/>
          <w:sz w:val="24"/>
          <w:szCs w:val="24"/>
        </w:rPr>
        <w:t>Women in Canada: A gender-based statistical report</w:t>
      </w:r>
      <w:r w:rsidRPr="00277C27">
        <w:rPr>
          <w:sz w:val="24"/>
          <w:szCs w:val="24"/>
        </w:rPr>
        <w:t>,</w:t>
      </w:r>
      <w:r>
        <w:rPr>
          <w:sz w:val="24"/>
          <w:szCs w:val="24"/>
        </w:rPr>
        <w:t xml:space="preserve"> by</w:t>
      </w:r>
      <w:r w:rsidRPr="00464E8B">
        <w:rPr>
          <w:sz w:val="24"/>
          <w:szCs w:val="24"/>
        </w:rPr>
        <w:t xml:space="preserve"> </w:t>
      </w:r>
      <w:r w:rsidRPr="00277C27">
        <w:rPr>
          <w:sz w:val="24"/>
          <w:szCs w:val="24"/>
        </w:rPr>
        <w:t xml:space="preserve">Viviane O’Donnell and Susan Wallace, </w:t>
      </w:r>
      <w:r>
        <w:rPr>
          <w:sz w:val="24"/>
          <w:szCs w:val="24"/>
        </w:rPr>
        <w:t xml:space="preserve">(Ottawa: </w:t>
      </w:r>
      <w:r w:rsidRPr="00277C27">
        <w:rPr>
          <w:sz w:val="24"/>
          <w:szCs w:val="24"/>
        </w:rPr>
        <w:t>Statistics Canada, Social and Aboriginal Statistics Division</w:t>
      </w:r>
      <w:r>
        <w:rPr>
          <w:sz w:val="24"/>
          <w:szCs w:val="24"/>
        </w:rPr>
        <w:t xml:space="preserve">, </w:t>
      </w:r>
      <w:r w:rsidRPr="00277C27">
        <w:rPr>
          <w:sz w:val="24"/>
          <w:szCs w:val="24"/>
        </w:rPr>
        <w:t xml:space="preserve">July 2011) </w:t>
      </w:r>
    </w:p>
    <w:p w:rsidR="00C639FF" w:rsidRPr="00D65C93" w:rsidRDefault="00C639FF" w:rsidP="00FD6DC4">
      <w:pPr>
        <w:spacing w:after="360" w:line="240" w:lineRule="auto"/>
        <w:ind w:left="-720"/>
        <w:rPr>
          <w:sz w:val="24"/>
          <w:szCs w:val="24"/>
        </w:rPr>
      </w:pPr>
      <w:r>
        <w:rPr>
          <w:sz w:val="24"/>
          <w:szCs w:val="24"/>
        </w:rPr>
        <w:t>Statistics Canada, “</w:t>
      </w:r>
      <w:r w:rsidRPr="008863BD">
        <w:rPr>
          <w:sz w:val="24"/>
          <w:szCs w:val="24"/>
        </w:rPr>
        <w:t>Violent Victimization of Aboriginal women in the Canadian provinces, 2009</w:t>
      </w:r>
      <w:r>
        <w:rPr>
          <w:sz w:val="24"/>
          <w:szCs w:val="24"/>
        </w:rPr>
        <w:t>”</w:t>
      </w:r>
      <w:r w:rsidRPr="008863BD">
        <w:rPr>
          <w:sz w:val="24"/>
          <w:szCs w:val="24"/>
        </w:rPr>
        <w:t>,</w:t>
      </w:r>
      <w:r>
        <w:rPr>
          <w:sz w:val="24"/>
          <w:szCs w:val="24"/>
        </w:rPr>
        <w:t xml:space="preserve"> </w:t>
      </w:r>
      <w:r>
        <w:rPr>
          <w:i/>
          <w:sz w:val="24"/>
          <w:szCs w:val="24"/>
        </w:rPr>
        <w:t>Juristat Article</w:t>
      </w:r>
      <w:proofErr w:type="gramStart"/>
      <w:r>
        <w:rPr>
          <w:i/>
          <w:sz w:val="24"/>
          <w:szCs w:val="24"/>
        </w:rPr>
        <w:t xml:space="preserve">, </w:t>
      </w:r>
      <w:r>
        <w:rPr>
          <w:sz w:val="24"/>
          <w:szCs w:val="24"/>
        </w:rPr>
        <w:t xml:space="preserve"> by</w:t>
      </w:r>
      <w:proofErr w:type="gramEnd"/>
      <w:r w:rsidRPr="00D65C93">
        <w:rPr>
          <w:sz w:val="24"/>
          <w:szCs w:val="24"/>
        </w:rPr>
        <w:t xml:space="preserve"> Shannon Brennan</w:t>
      </w:r>
      <w:r>
        <w:rPr>
          <w:sz w:val="24"/>
          <w:szCs w:val="24"/>
        </w:rPr>
        <w:t xml:space="preserve"> (Ottawa: </w:t>
      </w:r>
      <w:r w:rsidRPr="00D65C93">
        <w:rPr>
          <w:sz w:val="24"/>
          <w:szCs w:val="24"/>
        </w:rPr>
        <w:t>Statistics Canada</w:t>
      </w:r>
      <w:r>
        <w:rPr>
          <w:sz w:val="24"/>
          <w:szCs w:val="24"/>
        </w:rPr>
        <w:t>, May 17 2011).</w:t>
      </w:r>
    </w:p>
    <w:p w:rsidR="00C639FF" w:rsidRDefault="00C639FF" w:rsidP="00FD6DC4">
      <w:pPr>
        <w:spacing w:after="360" w:line="240" w:lineRule="auto"/>
        <w:ind w:left="-720"/>
        <w:rPr>
          <w:sz w:val="24"/>
          <w:szCs w:val="24"/>
        </w:rPr>
      </w:pPr>
      <w:r>
        <w:rPr>
          <w:sz w:val="24"/>
          <w:szCs w:val="24"/>
        </w:rPr>
        <w:lastRenderedPageBreak/>
        <w:t>Status of Women Canada</w:t>
      </w:r>
      <w:r w:rsidRPr="00D65C93">
        <w:rPr>
          <w:sz w:val="24"/>
          <w:szCs w:val="24"/>
        </w:rPr>
        <w:t xml:space="preserve">, </w:t>
      </w:r>
      <w:r w:rsidRPr="00D65C93">
        <w:rPr>
          <w:i/>
          <w:sz w:val="24"/>
          <w:szCs w:val="24"/>
        </w:rPr>
        <w:t>Indian Registration: Unrecognized and Unstated Paternity</w:t>
      </w:r>
      <w:r w:rsidRPr="00D65C93">
        <w:rPr>
          <w:sz w:val="24"/>
          <w:szCs w:val="24"/>
        </w:rPr>
        <w:t xml:space="preserve">, </w:t>
      </w:r>
      <w:r>
        <w:rPr>
          <w:sz w:val="24"/>
          <w:szCs w:val="24"/>
        </w:rPr>
        <w:t>by Michelle Ma</w:t>
      </w:r>
      <w:r w:rsidR="00E7101E">
        <w:rPr>
          <w:sz w:val="24"/>
          <w:szCs w:val="24"/>
        </w:rPr>
        <w:t>n</w:t>
      </w:r>
      <w:r>
        <w:rPr>
          <w:sz w:val="24"/>
          <w:szCs w:val="24"/>
        </w:rPr>
        <w:t>n (Ottawa: Status of Women Canada, June 2005).</w:t>
      </w:r>
    </w:p>
    <w:p w:rsidR="00D65C93" w:rsidRPr="00277C27" w:rsidRDefault="00D65C93" w:rsidP="00FD6DC4">
      <w:pPr>
        <w:spacing w:after="360" w:line="240" w:lineRule="auto"/>
        <w:ind w:left="-720"/>
        <w:rPr>
          <w:b/>
          <w:sz w:val="24"/>
          <w:szCs w:val="24"/>
        </w:rPr>
      </w:pPr>
      <w:r w:rsidRPr="00277C27">
        <w:rPr>
          <w:b/>
          <w:sz w:val="24"/>
          <w:szCs w:val="24"/>
        </w:rPr>
        <w:t>International Instruments</w:t>
      </w:r>
      <w:r w:rsidR="008863BD">
        <w:rPr>
          <w:b/>
          <w:sz w:val="24"/>
          <w:szCs w:val="24"/>
        </w:rPr>
        <w:t xml:space="preserve"> and Decisions</w:t>
      </w:r>
    </w:p>
    <w:p w:rsidR="00D65C93" w:rsidRPr="00277C27" w:rsidRDefault="00D65C93" w:rsidP="00FD6DC4">
      <w:pPr>
        <w:spacing w:after="360" w:line="240" w:lineRule="auto"/>
        <w:ind w:left="-720"/>
        <w:rPr>
          <w:sz w:val="24"/>
          <w:szCs w:val="24"/>
        </w:rPr>
      </w:pPr>
      <w:r w:rsidRPr="00277C27">
        <w:rPr>
          <w:i/>
          <w:sz w:val="24"/>
          <w:szCs w:val="24"/>
        </w:rPr>
        <w:t xml:space="preserve">Convention for the Elimination of All Forms of Discrimination </w:t>
      </w:r>
      <w:proofErr w:type="gramStart"/>
      <w:r w:rsidRPr="00C639FF">
        <w:rPr>
          <w:i/>
          <w:sz w:val="24"/>
          <w:szCs w:val="24"/>
        </w:rPr>
        <w:t>Against</w:t>
      </w:r>
      <w:proofErr w:type="gramEnd"/>
      <w:r w:rsidRPr="00C639FF">
        <w:rPr>
          <w:i/>
          <w:sz w:val="24"/>
          <w:szCs w:val="24"/>
        </w:rPr>
        <w:t xml:space="preserve"> Women</w:t>
      </w:r>
      <w:r w:rsidRPr="00277C27">
        <w:rPr>
          <w:sz w:val="24"/>
          <w:szCs w:val="24"/>
        </w:rPr>
        <w:t>, 18 December 1979, Adopted GA Res. 34/180</w:t>
      </w:r>
    </w:p>
    <w:p w:rsidR="00B6636C" w:rsidRPr="008863BD" w:rsidRDefault="00D65C93" w:rsidP="00FD6DC4">
      <w:pPr>
        <w:spacing w:after="360" w:line="240" w:lineRule="auto"/>
        <w:ind w:left="-720"/>
        <w:rPr>
          <w:sz w:val="24"/>
          <w:szCs w:val="24"/>
        </w:rPr>
      </w:pPr>
      <w:r w:rsidRPr="00277C27">
        <w:rPr>
          <w:i/>
          <w:sz w:val="24"/>
          <w:szCs w:val="24"/>
        </w:rPr>
        <w:t>International Covenant on Civil and Political Rights</w:t>
      </w:r>
      <w:r w:rsidRPr="00277C27">
        <w:rPr>
          <w:sz w:val="24"/>
          <w:szCs w:val="24"/>
        </w:rPr>
        <w:t>, 19 October 1966, 172 UNTS 1976, No. 14668</w:t>
      </w:r>
    </w:p>
    <w:p w:rsidR="008863BD" w:rsidRPr="00C639FF" w:rsidRDefault="008863BD" w:rsidP="00FD6DC4">
      <w:pPr>
        <w:spacing w:after="360" w:line="240" w:lineRule="auto"/>
        <w:ind w:left="-720"/>
        <w:rPr>
          <w:sz w:val="24"/>
          <w:szCs w:val="24"/>
        </w:rPr>
      </w:pPr>
      <w:r w:rsidRPr="00957617">
        <w:rPr>
          <w:i/>
          <w:sz w:val="24"/>
          <w:szCs w:val="24"/>
        </w:rPr>
        <w:t>Lovelace v Canada</w:t>
      </w:r>
      <w:r w:rsidRPr="00957617">
        <w:rPr>
          <w:sz w:val="24"/>
          <w:szCs w:val="24"/>
        </w:rPr>
        <w:t>,</w:t>
      </w:r>
      <w:r w:rsidRPr="00D65C93">
        <w:rPr>
          <w:sz w:val="24"/>
          <w:szCs w:val="24"/>
        </w:rPr>
        <w:t xml:space="preserve"> Communication No. 24/1977: Canada 30/07/</w:t>
      </w:r>
      <w:r w:rsidR="00C639FF">
        <w:rPr>
          <w:sz w:val="24"/>
          <w:szCs w:val="24"/>
        </w:rPr>
        <w:t>81, UN Doc. CCPR/C/13/D/24/1977</w:t>
      </w:r>
    </w:p>
    <w:p w:rsidR="00C639FF" w:rsidRDefault="00617731" w:rsidP="00FD6DC4">
      <w:pPr>
        <w:spacing w:after="360" w:line="240" w:lineRule="auto"/>
        <w:ind w:left="-720"/>
        <w:rPr>
          <w:sz w:val="24"/>
          <w:szCs w:val="24"/>
        </w:rPr>
      </w:pPr>
      <w:r>
        <w:rPr>
          <w:sz w:val="24"/>
          <w:szCs w:val="24"/>
        </w:rPr>
        <w:t xml:space="preserve">UN </w:t>
      </w:r>
      <w:r w:rsidRPr="00D65C93">
        <w:rPr>
          <w:sz w:val="24"/>
          <w:szCs w:val="24"/>
        </w:rPr>
        <w:t>Committee on the Elimination of Discrimination against Women</w:t>
      </w:r>
      <w:r>
        <w:rPr>
          <w:sz w:val="24"/>
          <w:szCs w:val="24"/>
        </w:rPr>
        <w:t xml:space="preserve"> (CEDAW)</w:t>
      </w:r>
      <w:r w:rsidRPr="00D65C93">
        <w:rPr>
          <w:sz w:val="24"/>
          <w:szCs w:val="24"/>
        </w:rPr>
        <w:t xml:space="preserve">, </w:t>
      </w:r>
      <w:r w:rsidRPr="00D65C93">
        <w:rPr>
          <w:i/>
          <w:sz w:val="24"/>
          <w:szCs w:val="24"/>
        </w:rPr>
        <w:t>Report of the inquiry concerning Canada of the Committee on the Elimination of Discrimination against Women under article 8 of the Optional Protocol to the Convention on the Elimination of All Forms of Discrimination against Women</w:t>
      </w:r>
      <w:r>
        <w:rPr>
          <w:sz w:val="24"/>
          <w:szCs w:val="24"/>
        </w:rPr>
        <w:t xml:space="preserve">, </w:t>
      </w:r>
      <w:r w:rsidR="00F32277">
        <w:rPr>
          <w:sz w:val="24"/>
          <w:szCs w:val="24"/>
        </w:rPr>
        <w:t>CEDAW</w:t>
      </w:r>
      <w:r>
        <w:rPr>
          <w:sz w:val="24"/>
          <w:szCs w:val="24"/>
        </w:rPr>
        <w:t>, CEDAW/C/OP.8/CAN/1</w:t>
      </w:r>
      <w:r w:rsidR="00F32277">
        <w:rPr>
          <w:sz w:val="24"/>
          <w:szCs w:val="24"/>
        </w:rPr>
        <w:t xml:space="preserve"> (30 March 2015)</w:t>
      </w:r>
    </w:p>
    <w:p w:rsidR="00F32277" w:rsidRPr="00277C27" w:rsidRDefault="00F32277" w:rsidP="00FD6DC4">
      <w:pPr>
        <w:spacing w:after="360" w:line="240" w:lineRule="auto"/>
        <w:ind w:left="-720"/>
        <w:rPr>
          <w:sz w:val="24"/>
          <w:szCs w:val="24"/>
        </w:rPr>
      </w:pPr>
      <w:r>
        <w:rPr>
          <w:sz w:val="24"/>
          <w:szCs w:val="24"/>
        </w:rPr>
        <w:t>United Nations General Assembly, Human Rights Council</w:t>
      </w:r>
      <w:r w:rsidRPr="00F32277">
        <w:rPr>
          <w:i/>
          <w:sz w:val="24"/>
          <w:szCs w:val="24"/>
        </w:rPr>
        <w:t>, Report of the Special Rapporteur on the rights of Indigenous Peoples, Victoria Trauli</w:t>
      </w:r>
      <w:r>
        <w:rPr>
          <w:sz w:val="24"/>
          <w:szCs w:val="24"/>
        </w:rPr>
        <w:t>, UNHCR,</w:t>
      </w:r>
      <w:r w:rsidRPr="00277C27">
        <w:rPr>
          <w:sz w:val="24"/>
          <w:szCs w:val="24"/>
        </w:rPr>
        <w:t xml:space="preserve"> </w:t>
      </w:r>
      <w:r>
        <w:rPr>
          <w:sz w:val="24"/>
          <w:szCs w:val="24"/>
        </w:rPr>
        <w:t>30t</w:t>
      </w:r>
      <w:r w:rsidRPr="00277C27">
        <w:rPr>
          <w:sz w:val="24"/>
          <w:szCs w:val="24"/>
        </w:rPr>
        <w:t>h Session, A/HRC/30/41 (6 August 2015)</w:t>
      </w:r>
    </w:p>
    <w:p w:rsidR="00F32277" w:rsidRPr="00617731" w:rsidRDefault="00F32277" w:rsidP="00F7586B">
      <w:pPr>
        <w:spacing w:after="360" w:line="240" w:lineRule="auto"/>
        <w:ind w:left="-900"/>
        <w:rPr>
          <w:sz w:val="24"/>
          <w:szCs w:val="24"/>
        </w:rPr>
        <w:sectPr w:rsidR="00F32277" w:rsidRPr="00617731" w:rsidSect="00525010">
          <w:headerReference w:type="default" r:id="rId19"/>
          <w:footerReference w:type="default" r:id="rId20"/>
          <w:footerReference w:type="first" r:id="rId21"/>
          <w:pgSz w:w="12240" w:h="15840" w:code="1"/>
          <w:pgMar w:top="1440" w:right="1440" w:bottom="1440" w:left="2232" w:header="706" w:footer="706" w:gutter="0"/>
          <w:paperSrc w:first="15" w:other="15"/>
          <w:cols w:space="720"/>
          <w:docGrid w:linePitch="360"/>
        </w:sectPr>
      </w:pPr>
    </w:p>
    <w:p w:rsidR="00BD3314" w:rsidRPr="007E5C0E" w:rsidRDefault="00BD3314" w:rsidP="00BD3314">
      <w:pPr>
        <w:pStyle w:val="Addenda"/>
        <w:spacing w:after="120"/>
        <w:rPr>
          <w:rFonts w:ascii="Times New Roman" w:hAnsi="Times New Roman" w:cs="Times New Roman"/>
          <w:sz w:val="24"/>
          <w:szCs w:val="24"/>
        </w:rPr>
      </w:pPr>
      <w:bookmarkStart w:id="2" w:name="_Toc171402352"/>
      <w:r w:rsidRPr="007E5C0E">
        <w:rPr>
          <w:rFonts w:ascii="Times New Roman" w:hAnsi="Times New Roman" w:cs="Times New Roman"/>
          <w:sz w:val="24"/>
          <w:szCs w:val="24"/>
        </w:rPr>
        <w:lastRenderedPageBreak/>
        <w:t>SCHEDULE “B”</w:t>
      </w:r>
      <w:r w:rsidRPr="007E5C0E">
        <w:rPr>
          <w:rFonts w:ascii="Times New Roman" w:hAnsi="Times New Roman" w:cs="Times New Roman"/>
          <w:sz w:val="24"/>
          <w:szCs w:val="24"/>
        </w:rPr>
        <w:br/>
        <w:t>RELEVANT STATUTES</w:t>
      </w:r>
      <w:bookmarkEnd w:id="2"/>
    </w:p>
    <w:p w:rsidR="00F7586B" w:rsidRDefault="00F7586B" w:rsidP="00F7586B">
      <w:pPr>
        <w:spacing w:after="360" w:line="240" w:lineRule="auto"/>
        <w:ind w:left="720"/>
        <w:rPr>
          <w:rStyle w:val="Prompt"/>
          <w:i/>
          <w:color w:val="auto"/>
          <w:sz w:val="24"/>
          <w:szCs w:val="24"/>
        </w:rPr>
      </w:pPr>
    </w:p>
    <w:p w:rsidR="00F7586B" w:rsidRPr="00F7586B" w:rsidRDefault="00F7586B" w:rsidP="00F7586B">
      <w:pPr>
        <w:spacing w:after="360" w:line="240" w:lineRule="auto"/>
        <w:rPr>
          <w:rStyle w:val="Prompt"/>
          <w:color w:val="auto"/>
          <w:sz w:val="24"/>
          <w:szCs w:val="24"/>
        </w:rPr>
      </w:pPr>
      <w:r w:rsidRPr="00F7586B">
        <w:rPr>
          <w:rStyle w:val="Prompt"/>
          <w:i/>
          <w:color w:val="auto"/>
          <w:sz w:val="24"/>
          <w:szCs w:val="24"/>
        </w:rPr>
        <w:t>An Act for the gradual enfranchisement of Indians, the better management of Indian affairs, and to extend the provisions of the Act 31st Victoria</w:t>
      </w:r>
      <w:r w:rsidRPr="00F7586B">
        <w:rPr>
          <w:rStyle w:val="Prompt"/>
          <w:color w:val="auto"/>
          <w:sz w:val="24"/>
          <w:szCs w:val="24"/>
        </w:rPr>
        <w:t>, c 42, SC 1869, c6</w:t>
      </w:r>
    </w:p>
    <w:p w:rsidR="00F7586B" w:rsidRPr="00F7586B" w:rsidRDefault="00F7586B" w:rsidP="00F7586B">
      <w:pPr>
        <w:spacing w:after="360" w:line="240" w:lineRule="auto"/>
        <w:rPr>
          <w:rStyle w:val="Prompt"/>
          <w:color w:val="auto"/>
          <w:sz w:val="24"/>
          <w:szCs w:val="24"/>
        </w:rPr>
      </w:pPr>
      <w:r w:rsidRPr="00F7586B">
        <w:rPr>
          <w:rStyle w:val="Prompt"/>
          <w:i/>
          <w:color w:val="auto"/>
          <w:sz w:val="24"/>
          <w:szCs w:val="24"/>
        </w:rPr>
        <w:t>The Constitution Act</w:t>
      </w:r>
      <w:r w:rsidRPr="00F7586B">
        <w:rPr>
          <w:rStyle w:val="Prompt"/>
          <w:color w:val="auto"/>
          <w:sz w:val="24"/>
          <w:szCs w:val="24"/>
        </w:rPr>
        <w:t>,</w:t>
      </w:r>
      <w:r w:rsidRPr="00F7586B">
        <w:rPr>
          <w:rStyle w:val="Prompt"/>
          <w:i/>
          <w:color w:val="auto"/>
          <w:sz w:val="24"/>
          <w:szCs w:val="24"/>
        </w:rPr>
        <w:t xml:space="preserve"> 1982</w:t>
      </w:r>
      <w:r w:rsidRPr="00F7586B">
        <w:rPr>
          <w:rStyle w:val="Prompt"/>
          <w:color w:val="auto"/>
          <w:sz w:val="24"/>
          <w:szCs w:val="24"/>
        </w:rPr>
        <w:t xml:space="preserve">, Schedule B to the </w:t>
      </w:r>
      <w:r w:rsidRPr="00F7586B">
        <w:rPr>
          <w:rStyle w:val="Prompt"/>
          <w:i/>
          <w:color w:val="auto"/>
          <w:sz w:val="24"/>
          <w:szCs w:val="24"/>
        </w:rPr>
        <w:t>Canada Act 1982</w:t>
      </w:r>
      <w:r w:rsidRPr="00F7586B">
        <w:rPr>
          <w:rStyle w:val="Prompt"/>
          <w:color w:val="auto"/>
          <w:sz w:val="24"/>
          <w:szCs w:val="24"/>
        </w:rPr>
        <w:t xml:space="preserve"> (UK), 1982, c 11</w:t>
      </w:r>
    </w:p>
    <w:p w:rsidR="00F7586B" w:rsidRPr="00F7586B" w:rsidRDefault="00F7586B" w:rsidP="00F7586B">
      <w:pPr>
        <w:spacing w:after="360" w:line="240" w:lineRule="auto"/>
        <w:rPr>
          <w:rStyle w:val="Prompt"/>
          <w:color w:val="auto"/>
          <w:sz w:val="24"/>
          <w:szCs w:val="24"/>
        </w:rPr>
      </w:pPr>
      <w:r w:rsidRPr="00F7586B">
        <w:rPr>
          <w:rStyle w:val="Prompt"/>
          <w:i/>
          <w:color w:val="auto"/>
          <w:sz w:val="24"/>
          <w:szCs w:val="24"/>
        </w:rPr>
        <w:t>Indian Act</w:t>
      </w:r>
      <w:r w:rsidRPr="00F7586B">
        <w:rPr>
          <w:rStyle w:val="Prompt"/>
          <w:color w:val="auto"/>
          <w:sz w:val="24"/>
          <w:szCs w:val="24"/>
        </w:rPr>
        <w:t>, SC 1876, c 18</w:t>
      </w:r>
    </w:p>
    <w:p w:rsidR="00F7586B" w:rsidRPr="00F7586B" w:rsidRDefault="00F7586B" w:rsidP="00F7586B">
      <w:pPr>
        <w:spacing w:after="360" w:line="240" w:lineRule="auto"/>
        <w:rPr>
          <w:rStyle w:val="Prompt"/>
          <w:color w:val="auto"/>
          <w:sz w:val="24"/>
          <w:szCs w:val="24"/>
        </w:rPr>
      </w:pPr>
      <w:r w:rsidRPr="00F7586B">
        <w:rPr>
          <w:rStyle w:val="Prompt"/>
          <w:i/>
          <w:color w:val="auto"/>
          <w:sz w:val="24"/>
          <w:szCs w:val="24"/>
        </w:rPr>
        <w:t>Indian Act</w:t>
      </w:r>
      <w:r w:rsidRPr="00F7586B">
        <w:rPr>
          <w:rStyle w:val="Prompt"/>
          <w:color w:val="auto"/>
          <w:sz w:val="24"/>
          <w:szCs w:val="24"/>
        </w:rPr>
        <w:t>, RS 1880</w:t>
      </w:r>
      <w:proofErr w:type="gramStart"/>
      <w:r w:rsidRPr="00F7586B">
        <w:rPr>
          <w:rStyle w:val="Prompt"/>
          <w:color w:val="auto"/>
          <w:sz w:val="24"/>
          <w:szCs w:val="24"/>
        </w:rPr>
        <w:t>,  c</w:t>
      </w:r>
      <w:proofErr w:type="gramEnd"/>
      <w:r w:rsidRPr="00F7586B">
        <w:rPr>
          <w:rStyle w:val="Prompt"/>
          <w:color w:val="auto"/>
          <w:sz w:val="24"/>
          <w:szCs w:val="24"/>
        </w:rPr>
        <w:t xml:space="preserve"> 28 (43 Vict)</w:t>
      </w:r>
    </w:p>
    <w:p w:rsidR="00F7586B" w:rsidRPr="00F7586B" w:rsidRDefault="00F7586B" w:rsidP="00F7586B">
      <w:pPr>
        <w:spacing w:after="360" w:line="240" w:lineRule="auto"/>
        <w:rPr>
          <w:rStyle w:val="Prompt"/>
          <w:color w:val="auto"/>
          <w:sz w:val="24"/>
          <w:szCs w:val="24"/>
        </w:rPr>
      </w:pPr>
      <w:r w:rsidRPr="00F7586B">
        <w:rPr>
          <w:rStyle w:val="Prompt"/>
          <w:i/>
          <w:color w:val="auto"/>
          <w:sz w:val="24"/>
          <w:szCs w:val="24"/>
        </w:rPr>
        <w:t>Indian Act</w:t>
      </w:r>
      <w:r w:rsidRPr="00F7586B">
        <w:rPr>
          <w:rStyle w:val="Prompt"/>
          <w:color w:val="auto"/>
          <w:sz w:val="24"/>
          <w:szCs w:val="24"/>
        </w:rPr>
        <w:t xml:space="preserve">, SC 1951 c 29 (15 Geo </w:t>
      </w:r>
      <w:proofErr w:type="gramStart"/>
      <w:r w:rsidRPr="00F7586B">
        <w:rPr>
          <w:rStyle w:val="Prompt"/>
          <w:color w:val="auto"/>
          <w:sz w:val="24"/>
          <w:szCs w:val="24"/>
        </w:rPr>
        <w:t>Vi</w:t>
      </w:r>
      <w:proofErr w:type="gramEnd"/>
      <w:r w:rsidRPr="00F7586B">
        <w:rPr>
          <w:rStyle w:val="Prompt"/>
          <w:color w:val="auto"/>
          <w:sz w:val="24"/>
          <w:szCs w:val="24"/>
        </w:rPr>
        <w:t>)</w:t>
      </w:r>
    </w:p>
    <w:p w:rsidR="00BD3314" w:rsidRPr="00F7586B" w:rsidRDefault="00F7586B" w:rsidP="00F7586B">
      <w:pPr>
        <w:spacing w:after="360" w:line="240" w:lineRule="auto"/>
        <w:rPr>
          <w:rStyle w:val="Prompt"/>
          <w:color w:val="auto"/>
          <w:sz w:val="24"/>
          <w:szCs w:val="24"/>
        </w:rPr>
      </w:pPr>
      <w:r w:rsidRPr="00F7586B">
        <w:rPr>
          <w:rStyle w:val="Prompt"/>
          <w:i/>
          <w:color w:val="auto"/>
          <w:sz w:val="24"/>
          <w:szCs w:val="24"/>
        </w:rPr>
        <w:t>Indian Act</w:t>
      </w:r>
      <w:r w:rsidRPr="00F7586B">
        <w:rPr>
          <w:rStyle w:val="Prompt"/>
          <w:color w:val="auto"/>
          <w:sz w:val="24"/>
          <w:szCs w:val="24"/>
        </w:rPr>
        <w:t>, RSC 1985 c I-5</w:t>
      </w: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BD3314">
      <w:pPr>
        <w:pStyle w:val="FactumBodyL1"/>
        <w:numPr>
          <w:ilvl w:val="0"/>
          <w:numId w:val="0"/>
        </w:numPr>
        <w:spacing w:after="120"/>
        <w:rPr>
          <w:rFonts w:ascii="Times New Roman" w:hAnsi="Times New Roman" w:cs="Times New Roman"/>
          <w:sz w:val="24"/>
          <w:szCs w:val="24"/>
        </w:rPr>
      </w:pPr>
    </w:p>
    <w:p w:rsidR="00BD3314" w:rsidRPr="007E5C0E" w:rsidRDefault="00BD3314" w:rsidP="006E26BE">
      <w:pPr>
        <w:jc w:val="center"/>
        <w:rPr>
          <w:b/>
          <w:sz w:val="24"/>
          <w:szCs w:val="24"/>
        </w:rPr>
      </w:pPr>
      <w:r w:rsidRPr="007E5C0E">
        <w:rPr>
          <w:b/>
          <w:i/>
          <w:sz w:val="24"/>
          <w:szCs w:val="24"/>
        </w:rPr>
        <w:lastRenderedPageBreak/>
        <w:t>An Act for the gradual enfranchisement of Indians, the better management of Indian affairs, and to extend the provisions of the Act 31</w:t>
      </w:r>
      <w:r w:rsidRPr="007E5C0E">
        <w:rPr>
          <w:b/>
          <w:i/>
          <w:sz w:val="24"/>
          <w:szCs w:val="24"/>
          <w:vertAlign w:val="superscript"/>
        </w:rPr>
        <w:t>st</w:t>
      </w:r>
      <w:r w:rsidRPr="007E5C0E">
        <w:rPr>
          <w:b/>
          <w:i/>
          <w:sz w:val="24"/>
          <w:szCs w:val="24"/>
        </w:rPr>
        <w:t xml:space="preserve"> Victoria</w:t>
      </w:r>
      <w:r w:rsidR="006E26BE">
        <w:rPr>
          <w:b/>
          <w:sz w:val="24"/>
          <w:szCs w:val="24"/>
        </w:rPr>
        <w:t>, c 42, S</w:t>
      </w:r>
      <w:r w:rsidRPr="007E5C0E">
        <w:rPr>
          <w:b/>
          <w:sz w:val="24"/>
          <w:szCs w:val="24"/>
        </w:rPr>
        <w:t>C 1869, c6, s 15.</w:t>
      </w:r>
    </w:p>
    <w:p w:rsidR="00BD3314" w:rsidRPr="007E5C0E" w:rsidRDefault="00BD3314" w:rsidP="00BD3314">
      <w:pPr>
        <w:rPr>
          <w:sz w:val="24"/>
          <w:szCs w:val="24"/>
        </w:rPr>
      </w:pPr>
      <w:proofErr w:type="gramStart"/>
      <w:r w:rsidRPr="007E5C0E">
        <w:rPr>
          <w:sz w:val="24"/>
          <w:szCs w:val="24"/>
        </w:rPr>
        <w:t>15. The wife or unmarried daughters of any deceased Indian who may, in consequence of the operation of the thirteenth and sixteen sections of this Act be deprived of all benefit from their husband’s or father’s land, shall in the periodical division of the annuity and interest money or other revenues of their husband’s or father’s tribe or band, and so long as she or they continue to reside upon the reserve belonging to the tribe or band, and remain in widowhood or unmarried, be entitled to and receive two shares instead of one share of such annuity and interest money.</w:t>
      </w:r>
      <w:proofErr w:type="gramEnd"/>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BD3314">
      <w:pPr>
        <w:spacing w:after="240" w:line="240" w:lineRule="auto"/>
        <w:rPr>
          <w:b/>
          <w:i/>
          <w:sz w:val="24"/>
          <w:szCs w:val="24"/>
        </w:rPr>
      </w:pPr>
    </w:p>
    <w:p w:rsidR="00BD3314" w:rsidRPr="007E5C0E" w:rsidRDefault="00BD3314" w:rsidP="006E26BE">
      <w:pPr>
        <w:spacing w:after="240" w:line="240" w:lineRule="auto"/>
        <w:jc w:val="center"/>
        <w:rPr>
          <w:b/>
          <w:color w:val="0000FF"/>
          <w:sz w:val="24"/>
          <w:szCs w:val="24"/>
        </w:rPr>
      </w:pPr>
      <w:r w:rsidRPr="007E5C0E">
        <w:rPr>
          <w:b/>
          <w:i/>
          <w:sz w:val="24"/>
          <w:szCs w:val="24"/>
        </w:rPr>
        <w:lastRenderedPageBreak/>
        <w:t xml:space="preserve">The Constitution Act, 1982, </w:t>
      </w:r>
      <w:r w:rsidRPr="007E5C0E">
        <w:rPr>
          <w:b/>
          <w:sz w:val="24"/>
          <w:szCs w:val="24"/>
        </w:rPr>
        <w:t>Schedule B to the</w:t>
      </w:r>
      <w:r w:rsidRPr="007E5C0E">
        <w:rPr>
          <w:b/>
          <w:i/>
          <w:sz w:val="24"/>
          <w:szCs w:val="24"/>
        </w:rPr>
        <w:t xml:space="preserve"> Canada Act 1982 (UK), </w:t>
      </w:r>
      <w:r w:rsidRPr="007E5C0E">
        <w:rPr>
          <w:b/>
          <w:sz w:val="24"/>
          <w:szCs w:val="24"/>
        </w:rPr>
        <w:t>1982, c 11</w:t>
      </w:r>
      <w:r w:rsidRPr="007E5C0E">
        <w:rPr>
          <w:b/>
          <w:i/>
          <w:sz w:val="24"/>
          <w:szCs w:val="24"/>
        </w:rPr>
        <w:t>,</w:t>
      </w:r>
      <w:r w:rsidRPr="007E5C0E">
        <w:rPr>
          <w:b/>
          <w:sz w:val="24"/>
          <w:szCs w:val="24"/>
        </w:rPr>
        <w:t xml:space="preserve"> s 15, s 1</w:t>
      </w:r>
    </w:p>
    <w:p w:rsidR="00BD3314" w:rsidRPr="00F7586B" w:rsidRDefault="00BD3314" w:rsidP="00BD3314">
      <w:pPr>
        <w:spacing w:before="168" w:after="120" w:line="240" w:lineRule="auto"/>
        <w:ind w:firstLine="360"/>
        <w:rPr>
          <w:sz w:val="24"/>
          <w:szCs w:val="24"/>
          <w:lang w:val="en" w:eastAsia="en-CA"/>
        </w:rPr>
      </w:pPr>
      <w:r w:rsidRPr="007E5C0E">
        <w:rPr>
          <w:b/>
          <w:bCs/>
          <w:sz w:val="24"/>
          <w:szCs w:val="24"/>
          <w:lang w:val="en" w:eastAsia="en-CA"/>
        </w:rPr>
        <w:t>1</w:t>
      </w:r>
      <w:r w:rsidRPr="00F7586B">
        <w:rPr>
          <w:b/>
          <w:bCs/>
          <w:sz w:val="24"/>
          <w:szCs w:val="24"/>
          <w:lang w:val="en" w:eastAsia="en-CA"/>
        </w:rPr>
        <w:t>.</w:t>
      </w:r>
      <w:r w:rsidRPr="00F7586B">
        <w:rPr>
          <w:sz w:val="24"/>
          <w:szCs w:val="24"/>
          <w:lang w:val="en" w:eastAsia="en-CA"/>
        </w:rPr>
        <w:t xml:space="preserve"> The </w:t>
      </w:r>
      <w:r w:rsidRPr="00F7586B">
        <w:rPr>
          <w:i/>
          <w:iCs/>
          <w:sz w:val="24"/>
          <w:szCs w:val="24"/>
          <w:lang w:val="en" w:eastAsia="en-CA"/>
        </w:rPr>
        <w:t>Canadian Charter of Rights and Freedoms</w:t>
      </w:r>
      <w:r w:rsidRPr="00F7586B">
        <w:rPr>
          <w:sz w:val="24"/>
          <w:szCs w:val="24"/>
          <w:lang w:val="en" w:eastAsia="en-CA"/>
        </w:rPr>
        <w:t xml:space="preserve"> guarantees the rights and freedoms set out in it subject only to such reasonable limits prescribed by law as can be demonstrably justified in a free and democratic society.</w:t>
      </w:r>
    </w:p>
    <w:p w:rsidR="00BD3314" w:rsidRPr="00F7586B" w:rsidRDefault="00BD3314" w:rsidP="00BD3314">
      <w:pPr>
        <w:spacing w:after="240" w:line="240" w:lineRule="auto"/>
        <w:rPr>
          <w:rStyle w:val="Prompt"/>
          <w:b/>
          <w:color w:val="auto"/>
          <w:sz w:val="24"/>
          <w:szCs w:val="24"/>
        </w:rPr>
      </w:pPr>
    </w:p>
    <w:p w:rsidR="00BD3314" w:rsidRPr="00F7586B" w:rsidRDefault="00BD3314" w:rsidP="00BD3314">
      <w:pPr>
        <w:spacing w:after="240" w:line="240" w:lineRule="auto"/>
        <w:rPr>
          <w:rStyle w:val="Prompt"/>
          <w:b/>
          <w:color w:val="auto"/>
          <w:sz w:val="24"/>
          <w:szCs w:val="24"/>
        </w:rPr>
      </w:pPr>
      <w:r w:rsidRPr="00F7586B">
        <w:rPr>
          <w:rStyle w:val="Prompt"/>
          <w:b/>
          <w:color w:val="auto"/>
          <w:sz w:val="24"/>
          <w:szCs w:val="24"/>
        </w:rPr>
        <w:t>…</w:t>
      </w:r>
    </w:p>
    <w:p w:rsidR="00BD3314" w:rsidRPr="00F7586B" w:rsidRDefault="00BD3314" w:rsidP="00BD3314">
      <w:pPr>
        <w:numPr>
          <w:ilvl w:val="0"/>
          <w:numId w:val="32"/>
        </w:numPr>
        <w:spacing w:before="168" w:after="120" w:line="240" w:lineRule="auto"/>
        <w:ind w:left="0" w:firstLine="360"/>
        <w:rPr>
          <w:sz w:val="24"/>
          <w:szCs w:val="24"/>
          <w:lang w:val="en" w:eastAsia="en-CA"/>
        </w:rPr>
      </w:pPr>
      <w:r w:rsidRPr="00F7586B">
        <w:rPr>
          <w:b/>
          <w:bCs/>
          <w:sz w:val="24"/>
          <w:szCs w:val="24"/>
          <w:lang w:val="en" w:eastAsia="en-CA"/>
        </w:rPr>
        <w:t>15.</w:t>
      </w:r>
      <w:r w:rsidRPr="00F7586B">
        <w:rPr>
          <w:sz w:val="24"/>
          <w:szCs w:val="24"/>
          <w:lang w:val="en" w:eastAsia="en-CA"/>
        </w:rPr>
        <w:t> (1)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rsidR="00BD3314" w:rsidRPr="00F7586B" w:rsidRDefault="00BD3314" w:rsidP="00BD3314">
      <w:pPr>
        <w:spacing w:before="168" w:after="120" w:line="240" w:lineRule="auto"/>
        <w:ind w:firstLine="360"/>
        <w:rPr>
          <w:sz w:val="24"/>
          <w:szCs w:val="24"/>
          <w:lang w:val="en" w:eastAsia="en-CA"/>
        </w:rPr>
      </w:pPr>
      <w:r w:rsidRPr="00F7586B">
        <w:rPr>
          <w:sz w:val="24"/>
          <w:szCs w:val="24"/>
          <w:lang w:val="en" w:eastAsia="en-CA"/>
        </w:rPr>
        <w:t xml:space="preserve"> (2) Subsection (1) does not preclude any law, program or activity that has as its object the amelioration of conditions of disadvantaged individuals or groups including those that are disadvantaged because of race, national or ethnic origin, colour, religion, sex, age or mental or physical disability. </w:t>
      </w:r>
    </w:p>
    <w:p w:rsidR="00BD3314" w:rsidRPr="00F7586B" w:rsidRDefault="00BD3314" w:rsidP="00BD3314">
      <w:pPr>
        <w:rPr>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BD3314">
      <w:pPr>
        <w:rPr>
          <w:b/>
          <w:i/>
          <w:sz w:val="24"/>
          <w:szCs w:val="24"/>
        </w:rPr>
      </w:pPr>
    </w:p>
    <w:p w:rsidR="00BD3314" w:rsidRPr="007E5C0E" w:rsidRDefault="00BD3314" w:rsidP="006E26BE">
      <w:pPr>
        <w:jc w:val="center"/>
        <w:rPr>
          <w:b/>
          <w:sz w:val="24"/>
          <w:szCs w:val="24"/>
        </w:rPr>
      </w:pPr>
      <w:r w:rsidRPr="007E5C0E">
        <w:rPr>
          <w:b/>
          <w:i/>
          <w:sz w:val="24"/>
          <w:szCs w:val="24"/>
        </w:rPr>
        <w:lastRenderedPageBreak/>
        <w:t xml:space="preserve">The Indian Act, </w:t>
      </w:r>
      <w:r w:rsidR="00E7101E">
        <w:rPr>
          <w:b/>
          <w:sz w:val="24"/>
          <w:szCs w:val="24"/>
        </w:rPr>
        <w:t>SC 1876, c</w:t>
      </w:r>
      <w:r w:rsidR="006E26BE">
        <w:rPr>
          <w:b/>
          <w:sz w:val="24"/>
          <w:szCs w:val="24"/>
        </w:rPr>
        <w:t xml:space="preserve"> 18 (39 Vict</w:t>
      </w:r>
      <w:r w:rsidRPr="007E5C0E">
        <w:rPr>
          <w:b/>
          <w:sz w:val="24"/>
          <w:szCs w:val="24"/>
        </w:rPr>
        <w:t>), s 3</w:t>
      </w:r>
    </w:p>
    <w:p w:rsidR="00BD3314" w:rsidRPr="007E5C0E" w:rsidRDefault="00BD3314" w:rsidP="00BD3314">
      <w:pPr>
        <w:rPr>
          <w:sz w:val="24"/>
          <w:szCs w:val="24"/>
        </w:rPr>
      </w:pPr>
      <w:proofErr w:type="gramStart"/>
      <w:r w:rsidRPr="007E5C0E">
        <w:rPr>
          <w:sz w:val="24"/>
          <w:szCs w:val="24"/>
        </w:rPr>
        <w:t>3. The following terms contained in this</w:t>
      </w:r>
      <w:proofErr w:type="gramEnd"/>
      <w:r w:rsidRPr="007E5C0E">
        <w:rPr>
          <w:sz w:val="24"/>
          <w:szCs w:val="24"/>
        </w:rPr>
        <w:t xml:space="preserve"> Act shall be held to have the meaning hereinafter assigned to them, unless such meaning be repugnant to the subject or inconsistent with the context:</w:t>
      </w:r>
    </w:p>
    <w:p w:rsidR="00BD3314" w:rsidRPr="007E5C0E" w:rsidRDefault="00BD3314" w:rsidP="00BD3314">
      <w:pPr>
        <w:rPr>
          <w:sz w:val="24"/>
          <w:szCs w:val="24"/>
        </w:rPr>
      </w:pPr>
      <w:proofErr w:type="gramStart"/>
      <w:r w:rsidRPr="007E5C0E">
        <w:rPr>
          <w:sz w:val="24"/>
          <w:szCs w:val="24"/>
        </w:rPr>
        <w:t>1. The term “band” means any tribe, band or body of Indians who own or are interested in a reserve or in Indian lands in common, of which the legal title is vested in the Crown, or who share alike in the distribution of any annuities or interest moneys for which the Government of Canada is responsible; the term “the band” means the band to which the context relates; and the term “band”, when action is being taken by the band as such, means the band in council.</w:t>
      </w:r>
      <w:proofErr w:type="gramEnd"/>
    </w:p>
    <w:p w:rsidR="00BD3314" w:rsidRPr="007E5C0E" w:rsidRDefault="00BD3314" w:rsidP="00BD3314">
      <w:pPr>
        <w:rPr>
          <w:sz w:val="24"/>
          <w:szCs w:val="24"/>
        </w:rPr>
      </w:pPr>
      <w:r w:rsidRPr="007E5C0E">
        <w:rPr>
          <w:sz w:val="24"/>
          <w:szCs w:val="24"/>
        </w:rPr>
        <w:t>2. The term “irregular band” means any tribe, band or body of persons of Indian blood who own no interest in any reserve or lands of which the legal title is vested in the Crown who possess no common fund managed by the Government of Canada, or who have not had any treaty relations with the Crown.</w:t>
      </w:r>
    </w:p>
    <w:p w:rsidR="00BD3314" w:rsidRPr="007E5C0E" w:rsidRDefault="00BD3314" w:rsidP="00BD3314">
      <w:pPr>
        <w:rPr>
          <w:sz w:val="24"/>
          <w:szCs w:val="24"/>
        </w:rPr>
      </w:pPr>
      <w:r w:rsidRPr="007E5C0E">
        <w:rPr>
          <w:sz w:val="24"/>
          <w:szCs w:val="24"/>
        </w:rPr>
        <w:t>3. The term “Indian” means</w:t>
      </w:r>
    </w:p>
    <w:p w:rsidR="00BD3314" w:rsidRPr="007E5C0E" w:rsidRDefault="00BD3314" w:rsidP="00BD3314">
      <w:pPr>
        <w:rPr>
          <w:sz w:val="24"/>
          <w:szCs w:val="24"/>
        </w:rPr>
      </w:pPr>
      <w:proofErr w:type="gramStart"/>
      <w:r w:rsidRPr="007E5C0E">
        <w:rPr>
          <w:sz w:val="24"/>
          <w:szCs w:val="24"/>
        </w:rPr>
        <w:t>First.</w:t>
      </w:r>
      <w:proofErr w:type="gramEnd"/>
      <w:r w:rsidRPr="007E5C0E">
        <w:rPr>
          <w:sz w:val="24"/>
          <w:szCs w:val="24"/>
        </w:rPr>
        <w:t xml:space="preserve"> Any male person of Indian blood reputed to belong to a particular band</w:t>
      </w:r>
      <w:proofErr w:type="gramStart"/>
      <w:r w:rsidRPr="007E5C0E">
        <w:rPr>
          <w:sz w:val="24"/>
          <w:szCs w:val="24"/>
        </w:rPr>
        <w:t>;</w:t>
      </w:r>
      <w:proofErr w:type="gramEnd"/>
    </w:p>
    <w:p w:rsidR="00BD3314" w:rsidRPr="007E5C0E" w:rsidRDefault="00BD3314" w:rsidP="00BD3314">
      <w:pPr>
        <w:rPr>
          <w:sz w:val="24"/>
          <w:szCs w:val="24"/>
        </w:rPr>
      </w:pPr>
      <w:proofErr w:type="gramStart"/>
      <w:r w:rsidRPr="007E5C0E">
        <w:rPr>
          <w:sz w:val="24"/>
          <w:szCs w:val="24"/>
        </w:rPr>
        <w:t>Secondly.</w:t>
      </w:r>
      <w:proofErr w:type="gramEnd"/>
      <w:r w:rsidRPr="007E5C0E">
        <w:rPr>
          <w:sz w:val="24"/>
          <w:szCs w:val="24"/>
        </w:rPr>
        <w:t xml:space="preserve">  Any child of such person;</w:t>
      </w:r>
    </w:p>
    <w:p w:rsidR="00BD3314" w:rsidRPr="007E5C0E" w:rsidRDefault="00BD3314" w:rsidP="00BD3314">
      <w:pPr>
        <w:rPr>
          <w:sz w:val="24"/>
          <w:szCs w:val="24"/>
        </w:rPr>
      </w:pPr>
      <w:proofErr w:type="gramStart"/>
      <w:r w:rsidRPr="007E5C0E">
        <w:rPr>
          <w:sz w:val="24"/>
          <w:szCs w:val="24"/>
        </w:rPr>
        <w:t>Thirdly.</w:t>
      </w:r>
      <w:proofErr w:type="gramEnd"/>
      <w:r w:rsidRPr="007E5C0E">
        <w:rPr>
          <w:sz w:val="24"/>
          <w:szCs w:val="24"/>
        </w:rPr>
        <w:t xml:space="preserve">  Any woman </w:t>
      </w:r>
      <w:proofErr w:type="gramStart"/>
      <w:r w:rsidRPr="007E5C0E">
        <w:rPr>
          <w:sz w:val="24"/>
          <w:szCs w:val="24"/>
        </w:rPr>
        <w:t>who is or was lawfully married to such a person</w:t>
      </w:r>
      <w:proofErr w:type="gramEnd"/>
      <w:r w:rsidRPr="007E5C0E">
        <w:rPr>
          <w:sz w:val="24"/>
          <w:szCs w:val="24"/>
        </w:rPr>
        <w:t>:</w:t>
      </w:r>
    </w:p>
    <w:p w:rsidR="00BD3314" w:rsidRPr="007E5C0E" w:rsidRDefault="00BD3314" w:rsidP="00BD3314">
      <w:pPr>
        <w:rPr>
          <w:sz w:val="24"/>
          <w:szCs w:val="24"/>
        </w:rPr>
      </w:pPr>
      <w:r w:rsidRPr="007E5C0E">
        <w:rPr>
          <w:sz w:val="24"/>
          <w:szCs w:val="24"/>
        </w:rPr>
        <w:t>(a) Provided that any illegitimate child, unless having shared with the consent of the band in the distribution moneys of such band for a period exceeding two years, may, at any time, be excluded from membership thereof by the band, if such a proceeding be sanctioned by the Superintendent-General:</w:t>
      </w:r>
    </w:p>
    <w:p w:rsidR="00BD3314" w:rsidRPr="007E5C0E" w:rsidRDefault="00BD3314" w:rsidP="00BD3314">
      <w:pPr>
        <w:rPr>
          <w:sz w:val="24"/>
          <w:szCs w:val="24"/>
        </w:rPr>
      </w:pPr>
      <w:proofErr w:type="gramStart"/>
      <w:r w:rsidRPr="007E5C0E">
        <w:rPr>
          <w:sz w:val="24"/>
          <w:szCs w:val="24"/>
        </w:rPr>
        <w:t>(b) Provided that any Indian having for five years continuously resided in a foreign country shall with the sanction of the Superintendent-General, cease to be a member thereof and shall not be permitted to become again a member thereof, or of any other band, unless the consent of the band with the approval of the Superintendent-General or his agent, be first had and obtained; but this provision shall not apply to any professional man, mechanic, missionary, teacher or interpreter, while discharging his or her duty as such:</w:t>
      </w:r>
      <w:proofErr w:type="gramEnd"/>
    </w:p>
    <w:p w:rsidR="00BD3314" w:rsidRPr="007E5C0E" w:rsidRDefault="00BD3314" w:rsidP="00BD3314">
      <w:pPr>
        <w:rPr>
          <w:sz w:val="24"/>
          <w:szCs w:val="24"/>
        </w:rPr>
      </w:pPr>
      <w:proofErr w:type="gramStart"/>
      <w:r w:rsidRPr="007E5C0E">
        <w:rPr>
          <w:sz w:val="24"/>
          <w:szCs w:val="24"/>
        </w:rPr>
        <w:t>(c) Provided that any Indian woman marrying any other than an Indian or a non-treaty Indian shall cease to be an Indian in any respect within the meaning of this Act, except that she shall be entitled to share equally with the members of the band to which she formerly belonged, in the annual or semi-annual distribution of their annuities, interest moneys and rents; but this income may be commuted to her at any time at ten years’ purchase with the consent of the band:</w:t>
      </w:r>
      <w:proofErr w:type="gramEnd"/>
    </w:p>
    <w:p w:rsidR="00BD3314" w:rsidRPr="007E5C0E" w:rsidRDefault="00BD3314" w:rsidP="00BD3314">
      <w:pPr>
        <w:rPr>
          <w:sz w:val="24"/>
          <w:szCs w:val="24"/>
        </w:rPr>
      </w:pPr>
      <w:r w:rsidRPr="007E5C0E">
        <w:rPr>
          <w:sz w:val="24"/>
          <w:szCs w:val="24"/>
        </w:rPr>
        <w:t>(d) Provided that any Indian woman marrying an Indian of any other band, or a non-treaty Indian shall cease to be a member of the band to which she formerly belonged and become a member of the band or irregular band of which her husband is a member:</w:t>
      </w:r>
    </w:p>
    <w:p w:rsidR="00BD3314" w:rsidRPr="007E5C0E" w:rsidRDefault="00BD3314" w:rsidP="00BD3314">
      <w:pPr>
        <w:rPr>
          <w:sz w:val="24"/>
          <w:szCs w:val="24"/>
        </w:rPr>
      </w:pPr>
      <w:proofErr w:type="gramStart"/>
      <w:r w:rsidRPr="007E5C0E">
        <w:rPr>
          <w:sz w:val="24"/>
          <w:szCs w:val="24"/>
        </w:rPr>
        <w:lastRenderedPageBreak/>
        <w:t>(e) Provided also that no half-breed in Manitoba who has shared in the distribution of half-breed lands shall be accounted an Indian; and that no half-breed head of a family (except the widow of an Indian, or a half-breed who has already been admitted into a treaty), shall, unless under very special circumstances, to be determined by the Superintendent-General or his agent, be accounted an Indian, or entitled to be admitted into any Indian treaty.</w:t>
      </w:r>
      <w:proofErr w:type="gramEnd"/>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BD3314">
      <w:pPr>
        <w:rPr>
          <w:sz w:val="24"/>
          <w:szCs w:val="24"/>
        </w:rPr>
      </w:pPr>
    </w:p>
    <w:p w:rsidR="00BD3314" w:rsidRPr="007E5C0E" w:rsidRDefault="00BD3314" w:rsidP="006E26BE">
      <w:pPr>
        <w:jc w:val="center"/>
        <w:rPr>
          <w:b/>
          <w:sz w:val="24"/>
          <w:szCs w:val="24"/>
        </w:rPr>
      </w:pPr>
      <w:r w:rsidRPr="007E5C0E">
        <w:rPr>
          <w:b/>
          <w:i/>
          <w:sz w:val="24"/>
          <w:szCs w:val="24"/>
        </w:rPr>
        <w:lastRenderedPageBreak/>
        <w:t>Indian Act,</w:t>
      </w:r>
      <w:r w:rsidRPr="007E5C0E">
        <w:rPr>
          <w:b/>
          <w:sz w:val="24"/>
          <w:szCs w:val="24"/>
        </w:rPr>
        <w:t xml:space="preserve"> RS 1880</w:t>
      </w:r>
      <w:proofErr w:type="gramStart"/>
      <w:r w:rsidRPr="007E5C0E">
        <w:rPr>
          <w:b/>
          <w:sz w:val="24"/>
          <w:szCs w:val="24"/>
        </w:rPr>
        <w:t>,  c</w:t>
      </w:r>
      <w:proofErr w:type="gramEnd"/>
      <w:r w:rsidRPr="007E5C0E">
        <w:rPr>
          <w:b/>
          <w:sz w:val="24"/>
          <w:szCs w:val="24"/>
        </w:rPr>
        <w:t xml:space="preserve"> 28 (43 Vict), s 10</w:t>
      </w:r>
    </w:p>
    <w:p w:rsidR="00BD3314" w:rsidRPr="007E5C0E" w:rsidRDefault="00BD3314" w:rsidP="00BD3314">
      <w:pPr>
        <w:rPr>
          <w:sz w:val="24"/>
          <w:szCs w:val="24"/>
        </w:rPr>
      </w:pPr>
      <w:r w:rsidRPr="007E5C0E">
        <w:rPr>
          <w:sz w:val="24"/>
          <w:szCs w:val="24"/>
        </w:rPr>
        <w:t>10. Any illegitimate child, unless having shared with the consent of the band whereof the father or mother of such a child is a member in the distribution moneys of such band for a period exceeding two years, may, at any time, be excluded from the membership thereof by the Superintendent-General.</w:t>
      </w:r>
    </w:p>
    <w:p w:rsidR="00BD3314" w:rsidRDefault="00BD3314" w:rsidP="00BD3314">
      <w:pPr>
        <w:spacing w:after="240" w:line="240" w:lineRule="auto"/>
        <w:jc w:val="center"/>
        <w:rPr>
          <w:b/>
          <w:i/>
          <w:sz w:val="24"/>
          <w:szCs w:val="24"/>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jc w:val="center"/>
        <w:rPr>
          <w:b/>
          <w:sz w:val="24"/>
          <w:szCs w:val="24"/>
          <w:lang w:val="en" w:eastAsia="en-CA"/>
        </w:rPr>
      </w:pPr>
      <w:r>
        <w:rPr>
          <w:b/>
          <w:i/>
          <w:sz w:val="24"/>
          <w:szCs w:val="24"/>
        </w:rPr>
        <w:lastRenderedPageBreak/>
        <w:t xml:space="preserve">Indian Act, </w:t>
      </w:r>
      <w:r>
        <w:rPr>
          <w:b/>
          <w:sz w:val="24"/>
          <w:szCs w:val="24"/>
        </w:rPr>
        <w:t>SC 1951, c 29, ss 11-12</w:t>
      </w:r>
    </w:p>
    <w:p w:rsidR="00BD3314" w:rsidRDefault="00BD3314" w:rsidP="00BD3314">
      <w:pPr>
        <w:spacing w:before="168" w:after="120" w:line="240" w:lineRule="auto"/>
        <w:rPr>
          <w:sz w:val="24"/>
          <w:szCs w:val="24"/>
          <w:lang w:val="en" w:eastAsia="en-CA"/>
        </w:rPr>
      </w:pPr>
      <w:r>
        <w:rPr>
          <w:b/>
          <w:sz w:val="24"/>
          <w:szCs w:val="24"/>
          <w:lang w:val="en" w:eastAsia="en-CA"/>
        </w:rPr>
        <w:t>11.</w:t>
      </w:r>
      <w:r>
        <w:rPr>
          <w:sz w:val="24"/>
          <w:szCs w:val="24"/>
          <w:lang w:val="en" w:eastAsia="en-CA"/>
        </w:rPr>
        <w:t xml:space="preserve"> </w:t>
      </w:r>
      <w:r>
        <w:rPr>
          <w:sz w:val="24"/>
          <w:szCs w:val="24"/>
          <w:lang w:val="en" w:eastAsia="en-CA"/>
        </w:rPr>
        <w:tab/>
        <w:t>Subject to section twelve, a person is entitled to be registered if that person</w:t>
      </w:r>
    </w:p>
    <w:p w:rsidR="00BD3314" w:rsidRDefault="00BD3314" w:rsidP="00BD3314">
      <w:pPr>
        <w:spacing w:before="168" w:after="120" w:line="240" w:lineRule="auto"/>
        <w:rPr>
          <w:sz w:val="24"/>
          <w:szCs w:val="24"/>
          <w:lang w:val="en" w:eastAsia="en-CA"/>
        </w:rPr>
      </w:pPr>
      <w:proofErr w:type="gramStart"/>
      <w:r>
        <w:rPr>
          <w:sz w:val="24"/>
          <w:szCs w:val="24"/>
          <w:lang w:val="en" w:eastAsia="en-CA"/>
        </w:rPr>
        <w:t xml:space="preserve">(a) on the twenty-sixth day of May, eighteen hundred and seventy-four was, for the purposes of </w:t>
      </w:r>
      <w:r>
        <w:rPr>
          <w:i/>
          <w:sz w:val="24"/>
          <w:szCs w:val="24"/>
          <w:lang w:val="en" w:eastAsia="en-CA"/>
        </w:rPr>
        <w:t>An Act providing for the organization of the Department of the Secretary of State of Canada, and for the management of Indian and Ordnance Lands,</w:t>
      </w:r>
      <w:r>
        <w:rPr>
          <w:sz w:val="24"/>
          <w:szCs w:val="24"/>
          <w:lang w:val="en" w:eastAsia="en-CA"/>
        </w:rPr>
        <w:t xml:space="preserve"> chapter forty-two of the statutes of 1868, as amended by section six of chapter six of the statutes of 1869, and section eight of chapter twenty-one of the statutes of 1874, considered to be entitled to hold, use or enjoy the lands and other immovable property belonging to or appropriated to the use of the various tribes, bands or bodies of Indians in Canada,</w:t>
      </w:r>
      <w:proofErr w:type="gramEnd"/>
    </w:p>
    <w:p w:rsidR="00BD3314" w:rsidRDefault="00BD3314" w:rsidP="00BD3314">
      <w:pPr>
        <w:spacing w:before="168" w:after="120" w:line="240" w:lineRule="auto"/>
        <w:rPr>
          <w:sz w:val="24"/>
          <w:szCs w:val="24"/>
          <w:lang w:val="en" w:eastAsia="en-CA"/>
        </w:rPr>
      </w:pPr>
      <w:r>
        <w:rPr>
          <w:sz w:val="24"/>
          <w:szCs w:val="24"/>
          <w:lang w:val="en" w:eastAsia="en-CA"/>
        </w:rPr>
        <w:t xml:space="preserve">(b) </w:t>
      </w:r>
      <w:proofErr w:type="gramStart"/>
      <w:r>
        <w:rPr>
          <w:sz w:val="24"/>
          <w:szCs w:val="24"/>
          <w:lang w:val="en" w:eastAsia="en-CA"/>
        </w:rPr>
        <w:t>is</w:t>
      </w:r>
      <w:proofErr w:type="gramEnd"/>
      <w:r>
        <w:rPr>
          <w:sz w:val="24"/>
          <w:szCs w:val="24"/>
          <w:lang w:val="en" w:eastAsia="en-CA"/>
        </w:rPr>
        <w:t xml:space="preserve"> a member of a band</w:t>
      </w:r>
    </w:p>
    <w:p w:rsidR="00BD3314" w:rsidRDefault="00BD3314" w:rsidP="00BD3314">
      <w:pPr>
        <w:spacing w:before="168" w:after="120" w:line="240" w:lineRule="auto"/>
        <w:ind w:left="720"/>
        <w:rPr>
          <w:sz w:val="24"/>
          <w:szCs w:val="24"/>
          <w:lang w:val="en" w:eastAsia="en-CA"/>
        </w:rPr>
      </w:pPr>
      <w:r>
        <w:rPr>
          <w:sz w:val="24"/>
          <w:szCs w:val="24"/>
          <w:lang w:val="en" w:eastAsia="en-CA"/>
        </w:rPr>
        <w:t>(i) for whose use and benefit, in common, lands have been set apart or since the twenty-sixth day of May, eighteen hundred and seventy-four have been agreed by treaty to be set apart, or</w:t>
      </w:r>
    </w:p>
    <w:p w:rsidR="00BD3314" w:rsidRDefault="00BD3314" w:rsidP="00BD3314">
      <w:pPr>
        <w:spacing w:before="168" w:after="120" w:line="240" w:lineRule="auto"/>
        <w:ind w:left="720"/>
        <w:rPr>
          <w:sz w:val="24"/>
          <w:szCs w:val="24"/>
          <w:lang w:val="en" w:eastAsia="en-CA"/>
        </w:rPr>
      </w:pPr>
      <w:r>
        <w:rPr>
          <w:sz w:val="24"/>
          <w:szCs w:val="24"/>
          <w:lang w:val="en" w:eastAsia="en-CA"/>
        </w:rPr>
        <w:t xml:space="preserve">(ii) </w:t>
      </w:r>
      <w:proofErr w:type="gramStart"/>
      <w:r>
        <w:rPr>
          <w:sz w:val="24"/>
          <w:szCs w:val="24"/>
          <w:lang w:val="en" w:eastAsia="en-CA"/>
        </w:rPr>
        <w:t>that</w:t>
      </w:r>
      <w:proofErr w:type="gramEnd"/>
      <w:r>
        <w:rPr>
          <w:sz w:val="24"/>
          <w:szCs w:val="24"/>
          <w:lang w:val="en" w:eastAsia="en-CA"/>
        </w:rPr>
        <w:t xml:space="preserve"> has been declared by the Governor in Council to be a band for the purposes of this Act,</w:t>
      </w:r>
    </w:p>
    <w:p w:rsidR="00BD3314" w:rsidRDefault="00BD3314" w:rsidP="00BD3314">
      <w:pPr>
        <w:spacing w:before="168" w:after="120" w:line="240" w:lineRule="auto"/>
        <w:rPr>
          <w:sz w:val="24"/>
          <w:szCs w:val="24"/>
          <w:lang w:val="en" w:eastAsia="en-CA"/>
        </w:rPr>
      </w:pPr>
      <w:r>
        <w:rPr>
          <w:sz w:val="24"/>
          <w:szCs w:val="24"/>
          <w:lang w:val="en" w:eastAsia="en-CA"/>
        </w:rPr>
        <w:t xml:space="preserve">(c) </w:t>
      </w:r>
      <w:proofErr w:type="gramStart"/>
      <w:r>
        <w:rPr>
          <w:sz w:val="24"/>
          <w:szCs w:val="24"/>
          <w:lang w:val="en" w:eastAsia="en-CA"/>
        </w:rPr>
        <w:t>is</w:t>
      </w:r>
      <w:proofErr w:type="gramEnd"/>
      <w:r>
        <w:rPr>
          <w:sz w:val="24"/>
          <w:szCs w:val="24"/>
          <w:lang w:val="en" w:eastAsia="en-CA"/>
        </w:rPr>
        <w:t xml:space="preserve"> a male person who is a direct descendant in the male line of a male person described in paragraph (a) or (b),</w:t>
      </w:r>
    </w:p>
    <w:p w:rsidR="00BD3314" w:rsidRDefault="00BD3314" w:rsidP="00BD3314">
      <w:pPr>
        <w:spacing w:before="168" w:after="120" w:line="240" w:lineRule="auto"/>
        <w:rPr>
          <w:sz w:val="24"/>
          <w:szCs w:val="24"/>
          <w:lang w:val="en" w:eastAsia="en-CA"/>
        </w:rPr>
      </w:pPr>
      <w:r>
        <w:rPr>
          <w:sz w:val="24"/>
          <w:szCs w:val="24"/>
          <w:lang w:val="en" w:eastAsia="en-CA"/>
        </w:rPr>
        <w:t xml:space="preserve">(d) </w:t>
      </w:r>
      <w:proofErr w:type="gramStart"/>
      <w:r>
        <w:rPr>
          <w:sz w:val="24"/>
          <w:szCs w:val="24"/>
          <w:lang w:val="en" w:eastAsia="en-CA"/>
        </w:rPr>
        <w:t>is</w:t>
      </w:r>
      <w:proofErr w:type="gramEnd"/>
      <w:r>
        <w:rPr>
          <w:sz w:val="24"/>
          <w:szCs w:val="24"/>
          <w:lang w:val="en" w:eastAsia="en-CA"/>
        </w:rPr>
        <w:t xml:space="preserve"> the legitimate child of</w:t>
      </w:r>
    </w:p>
    <w:p w:rsidR="00BD3314" w:rsidRDefault="00BD3314" w:rsidP="00BD3314">
      <w:pPr>
        <w:spacing w:before="168" w:after="120" w:line="240" w:lineRule="auto"/>
        <w:rPr>
          <w:sz w:val="24"/>
          <w:szCs w:val="24"/>
          <w:lang w:val="en" w:eastAsia="en-CA"/>
        </w:rPr>
      </w:pPr>
      <w:r>
        <w:rPr>
          <w:sz w:val="24"/>
          <w:szCs w:val="24"/>
          <w:lang w:val="en" w:eastAsia="en-CA"/>
        </w:rPr>
        <w:tab/>
        <w:t xml:space="preserve">(i) </w:t>
      </w:r>
      <w:proofErr w:type="gramStart"/>
      <w:r>
        <w:rPr>
          <w:sz w:val="24"/>
          <w:szCs w:val="24"/>
          <w:lang w:val="en" w:eastAsia="en-CA"/>
        </w:rPr>
        <w:t>a</w:t>
      </w:r>
      <w:proofErr w:type="gramEnd"/>
      <w:r>
        <w:rPr>
          <w:sz w:val="24"/>
          <w:szCs w:val="24"/>
          <w:lang w:val="en" w:eastAsia="en-CA"/>
        </w:rPr>
        <w:t xml:space="preserve"> male person described in paragraph (a) or (b),or</w:t>
      </w:r>
    </w:p>
    <w:p w:rsidR="00BD3314" w:rsidRDefault="00BD3314" w:rsidP="00BD3314">
      <w:pPr>
        <w:spacing w:before="168" w:after="120" w:line="240" w:lineRule="auto"/>
        <w:rPr>
          <w:sz w:val="24"/>
          <w:szCs w:val="24"/>
          <w:lang w:val="en" w:eastAsia="en-CA"/>
        </w:rPr>
      </w:pPr>
      <w:r>
        <w:rPr>
          <w:sz w:val="24"/>
          <w:szCs w:val="24"/>
          <w:lang w:val="en" w:eastAsia="en-CA"/>
        </w:rPr>
        <w:tab/>
        <w:t xml:space="preserve">(ii) </w:t>
      </w:r>
      <w:proofErr w:type="gramStart"/>
      <w:r>
        <w:rPr>
          <w:sz w:val="24"/>
          <w:szCs w:val="24"/>
          <w:lang w:val="en" w:eastAsia="en-CA"/>
        </w:rPr>
        <w:t>a</w:t>
      </w:r>
      <w:proofErr w:type="gramEnd"/>
      <w:r>
        <w:rPr>
          <w:sz w:val="24"/>
          <w:szCs w:val="24"/>
          <w:lang w:val="en" w:eastAsia="en-CA"/>
        </w:rPr>
        <w:t xml:space="preserve"> person described in paragraph (c),</w:t>
      </w:r>
    </w:p>
    <w:p w:rsidR="00BD3314" w:rsidRDefault="00BD3314" w:rsidP="00BD3314">
      <w:pPr>
        <w:spacing w:before="168" w:after="120" w:line="240" w:lineRule="auto"/>
        <w:rPr>
          <w:sz w:val="24"/>
          <w:szCs w:val="24"/>
          <w:lang w:val="en" w:eastAsia="en-CA"/>
        </w:rPr>
      </w:pPr>
      <w:r>
        <w:rPr>
          <w:sz w:val="24"/>
          <w:szCs w:val="24"/>
          <w:lang w:val="en" w:eastAsia="en-CA"/>
        </w:rPr>
        <w:t>(e) is the illegitimate child of a female person described in paragraph (a), (b), or (d) unless the Registrar is satisfied that the father of the child was not an Indian and the Registrar has declared that the child is not entitled to be registered, or</w:t>
      </w:r>
    </w:p>
    <w:p w:rsidR="00BD3314" w:rsidRDefault="00BD3314" w:rsidP="00BD3314">
      <w:pPr>
        <w:spacing w:before="168" w:after="120" w:line="240" w:lineRule="auto"/>
        <w:rPr>
          <w:sz w:val="24"/>
          <w:szCs w:val="24"/>
          <w:lang w:val="en" w:eastAsia="en-CA"/>
        </w:rPr>
      </w:pPr>
      <w:r>
        <w:rPr>
          <w:sz w:val="24"/>
          <w:szCs w:val="24"/>
          <w:lang w:val="en" w:eastAsia="en-CA"/>
        </w:rPr>
        <w:t>(</w:t>
      </w:r>
      <w:proofErr w:type="gramStart"/>
      <w:r>
        <w:rPr>
          <w:sz w:val="24"/>
          <w:szCs w:val="24"/>
          <w:lang w:val="en" w:eastAsia="en-CA"/>
        </w:rPr>
        <w:t>f</w:t>
      </w:r>
      <w:proofErr w:type="gramEnd"/>
      <w:r>
        <w:rPr>
          <w:sz w:val="24"/>
          <w:szCs w:val="24"/>
          <w:lang w:val="en" w:eastAsia="en-CA"/>
        </w:rPr>
        <w:t>) is the wife or widow of a person who is entitled to be registered by virtue of paragraph (a), (b), (c), (d), or (e).</w:t>
      </w:r>
    </w:p>
    <w:p w:rsidR="00BD3314" w:rsidRDefault="00BD3314" w:rsidP="00BD3314">
      <w:pPr>
        <w:spacing w:before="168" w:after="120" w:line="240" w:lineRule="auto"/>
        <w:rPr>
          <w:sz w:val="24"/>
          <w:szCs w:val="24"/>
          <w:lang w:val="en" w:eastAsia="en-CA"/>
        </w:rPr>
      </w:pPr>
    </w:p>
    <w:p w:rsidR="00BD3314" w:rsidRDefault="00BD3314" w:rsidP="00BD3314">
      <w:pPr>
        <w:spacing w:before="168" w:after="120" w:line="240" w:lineRule="auto"/>
        <w:rPr>
          <w:sz w:val="24"/>
          <w:szCs w:val="24"/>
          <w:lang w:val="en" w:eastAsia="en-CA"/>
        </w:rPr>
      </w:pPr>
      <w:r>
        <w:rPr>
          <w:sz w:val="24"/>
          <w:szCs w:val="24"/>
          <w:lang w:val="en" w:eastAsia="en-CA"/>
        </w:rPr>
        <w:t xml:space="preserve">12. (1) </w:t>
      </w:r>
      <w:proofErr w:type="gramStart"/>
      <w:r>
        <w:rPr>
          <w:sz w:val="24"/>
          <w:szCs w:val="24"/>
          <w:lang w:val="en" w:eastAsia="en-CA"/>
        </w:rPr>
        <w:t>The</w:t>
      </w:r>
      <w:proofErr w:type="gramEnd"/>
      <w:r>
        <w:rPr>
          <w:sz w:val="24"/>
          <w:szCs w:val="24"/>
          <w:lang w:val="en" w:eastAsia="en-CA"/>
        </w:rPr>
        <w:t xml:space="preserve"> following persons are not entitled to be registered, namely,</w:t>
      </w:r>
    </w:p>
    <w:p w:rsidR="00BD3314" w:rsidRDefault="00BD3314" w:rsidP="00BD3314">
      <w:pPr>
        <w:spacing w:before="168" w:after="120" w:line="240" w:lineRule="auto"/>
        <w:rPr>
          <w:sz w:val="24"/>
          <w:szCs w:val="24"/>
          <w:lang w:val="en" w:eastAsia="en-CA"/>
        </w:rPr>
      </w:pPr>
      <w:r>
        <w:rPr>
          <w:sz w:val="24"/>
          <w:szCs w:val="24"/>
          <w:lang w:val="en" w:eastAsia="en-CA"/>
        </w:rPr>
        <w:t xml:space="preserve">(a) </w:t>
      </w:r>
      <w:proofErr w:type="gramStart"/>
      <w:r>
        <w:rPr>
          <w:sz w:val="24"/>
          <w:szCs w:val="24"/>
          <w:lang w:val="en" w:eastAsia="en-CA"/>
        </w:rPr>
        <w:t>a</w:t>
      </w:r>
      <w:proofErr w:type="gramEnd"/>
      <w:r>
        <w:rPr>
          <w:sz w:val="24"/>
          <w:szCs w:val="24"/>
          <w:lang w:val="en" w:eastAsia="en-CA"/>
        </w:rPr>
        <w:t xml:space="preserve"> person who</w:t>
      </w:r>
    </w:p>
    <w:p w:rsidR="00BD3314" w:rsidRDefault="00BD3314" w:rsidP="00BD3314">
      <w:pPr>
        <w:spacing w:before="168" w:after="120" w:line="240" w:lineRule="auto"/>
        <w:rPr>
          <w:sz w:val="24"/>
          <w:szCs w:val="24"/>
          <w:lang w:val="en" w:eastAsia="en-CA"/>
        </w:rPr>
      </w:pPr>
      <w:r>
        <w:rPr>
          <w:sz w:val="24"/>
          <w:szCs w:val="24"/>
          <w:lang w:val="en" w:eastAsia="en-CA"/>
        </w:rPr>
        <w:tab/>
        <w:t xml:space="preserve">(i) </w:t>
      </w:r>
      <w:proofErr w:type="gramStart"/>
      <w:r>
        <w:rPr>
          <w:sz w:val="24"/>
          <w:szCs w:val="24"/>
          <w:lang w:val="en" w:eastAsia="en-CA"/>
        </w:rPr>
        <w:t>has</w:t>
      </w:r>
      <w:proofErr w:type="gramEnd"/>
      <w:r>
        <w:rPr>
          <w:sz w:val="24"/>
          <w:szCs w:val="24"/>
          <w:lang w:val="en" w:eastAsia="en-CA"/>
        </w:rPr>
        <w:t xml:space="preserve"> received or has been allotted half-breed lands or money scrip,</w:t>
      </w:r>
    </w:p>
    <w:p w:rsidR="00BD3314" w:rsidRDefault="00BD3314" w:rsidP="00BD3314">
      <w:pPr>
        <w:spacing w:before="168" w:after="120" w:line="240" w:lineRule="auto"/>
        <w:rPr>
          <w:sz w:val="24"/>
          <w:szCs w:val="24"/>
          <w:lang w:val="en" w:eastAsia="en-CA"/>
        </w:rPr>
      </w:pPr>
      <w:r>
        <w:rPr>
          <w:sz w:val="24"/>
          <w:szCs w:val="24"/>
          <w:lang w:val="en" w:eastAsia="en-CA"/>
        </w:rPr>
        <w:tab/>
        <w:t xml:space="preserve">(ii) </w:t>
      </w:r>
      <w:proofErr w:type="gramStart"/>
      <w:r>
        <w:rPr>
          <w:sz w:val="24"/>
          <w:szCs w:val="24"/>
          <w:lang w:val="en" w:eastAsia="en-CA"/>
        </w:rPr>
        <w:t>is</w:t>
      </w:r>
      <w:proofErr w:type="gramEnd"/>
      <w:r>
        <w:rPr>
          <w:sz w:val="24"/>
          <w:szCs w:val="24"/>
          <w:lang w:val="en" w:eastAsia="en-CA"/>
        </w:rPr>
        <w:t xml:space="preserve"> a descendant of a person described in sub-paragraph (i)</w:t>
      </w:r>
    </w:p>
    <w:p w:rsidR="00BD3314" w:rsidRDefault="00BD3314" w:rsidP="00BD3314">
      <w:pPr>
        <w:spacing w:before="168" w:after="120" w:line="240" w:lineRule="auto"/>
        <w:rPr>
          <w:sz w:val="24"/>
          <w:szCs w:val="24"/>
          <w:lang w:val="en" w:eastAsia="en-CA"/>
        </w:rPr>
      </w:pPr>
      <w:r>
        <w:rPr>
          <w:sz w:val="24"/>
          <w:szCs w:val="24"/>
          <w:lang w:val="en" w:eastAsia="en-CA"/>
        </w:rPr>
        <w:tab/>
        <w:t xml:space="preserve">(iii) </w:t>
      </w:r>
      <w:proofErr w:type="gramStart"/>
      <w:r>
        <w:rPr>
          <w:sz w:val="24"/>
          <w:szCs w:val="24"/>
          <w:lang w:val="en" w:eastAsia="en-CA"/>
        </w:rPr>
        <w:t>is</w:t>
      </w:r>
      <w:proofErr w:type="gramEnd"/>
      <w:r>
        <w:rPr>
          <w:sz w:val="24"/>
          <w:szCs w:val="24"/>
          <w:lang w:val="en" w:eastAsia="en-CA"/>
        </w:rPr>
        <w:t xml:space="preserve"> enfranchised, or</w:t>
      </w:r>
    </w:p>
    <w:p w:rsidR="00BD3314" w:rsidRDefault="00BD3314" w:rsidP="00BD3314">
      <w:pPr>
        <w:spacing w:before="168" w:after="120" w:line="240" w:lineRule="auto"/>
        <w:ind w:left="720"/>
        <w:rPr>
          <w:sz w:val="24"/>
          <w:szCs w:val="24"/>
          <w:lang w:val="en" w:eastAsia="en-CA"/>
        </w:rPr>
      </w:pPr>
      <w:proofErr w:type="gramStart"/>
      <w:r>
        <w:rPr>
          <w:sz w:val="24"/>
          <w:szCs w:val="24"/>
          <w:lang w:val="en" w:eastAsia="en-CA"/>
        </w:rPr>
        <w:t>(iv) is a person born of a marriage entered into after the coming into force of this Act and has attained the age of twenty-one years, whose mother and whose father’s mother are not persons described in paragraph (a), (b), or (d) or entitled to be registered by virtue of paragraph (e) of section eleven, unless, being a woman, that person is the wife or widow of a person described in section eleven, and</w:t>
      </w:r>
      <w:proofErr w:type="gramEnd"/>
    </w:p>
    <w:p w:rsidR="00BD3314" w:rsidRDefault="00BD3314" w:rsidP="00BD3314">
      <w:pPr>
        <w:spacing w:before="168" w:after="120" w:line="240" w:lineRule="auto"/>
        <w:rPr>
          <w:sz w:val="24"/>
          <w:szCs w:val="24"/>
          <w:lang w:val="en" w:eastAsia="en-CA"/>
        </w:rPr>
      </w:pPr>
      <w:r>
        <w:rPr>
          <w:sz w:val="24"/>
          <w:szCs w:val="24"/>
          <w:lang w:val="en" w:eastAsia="en-CA"/>
        </w:rPr>
        <w:lastRenderedPageBreak/>
        <w:t xml:space="preserve">(b) </w:t>
      </w:r>
      <w:proofErr w:type="gramStart"/>
      <w:r>
        <w:rPr>
          <w:sz w:val="24"/>
          <w:szCs w:val="24"/>
          <w:lang w:val="en" w:eastAsia="en-CA"/>
        </w:rPr>
        <w:t>a</w:t>
      </w:r>
      <w:proofErr w:type="gramEnd"/>
      <w:r>
        <w:rPr>
          <w:sz w:val="24"/>
          <w:szCs w:val="24"/>
          <w:lang w:val="en" w:eastAsia="en-CA"/>
        </w:rPr>
        <w:t xml:space="preserve"> woman who is married to a person who is not an Indian.</w:t>
      </w:r>
    </w:p>
    <w:p w:rsidR="00BD3314" w:rsidRDefault="00BD3314" w:rsidP="00BD3314">
      <w:pPr>
        <w:spacing w:before="168" w:after="120" w:line="240" w:lineRule="auto"/>
        <w:rPr>
          <w:b/>
          <w:sz w:val="24"/>
          <w:szCs w:val="24"/>
          <w:lang w:val="en" w:eastAsia="en-CA"/>
        </w:rPr>
      </w:pPr>
      <w:r>
        <w:rPr>
          <w:sz w:val="24"/>
          <w:szCs w:val="24"/>
          <w:lang w:val="en" w:eastAsia="en-CA"/>
        </w:rPr>
        <w:t xml:space="preserve">(2) The Minister may issue any Indian to whom this Act ceases to apply, a certificate to that effect. </w:t>
      </w: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ind w:firstLine="360"/>
        <w:rPr>
          <w:sz w:val="24"/>
          <w:szCs w:val="24"/>
          <w:lang w:val="en" w:eastAsia="en-CA"/>
        </w:rPr>
      </w:pPr>
    </w:p>
    <w:p w:rsidR="00BD3314" w:rsidRDefault="00BD3314" w:rsidP="00BD3314">
      <w:pPr>
        <w:spacing w:before="168" w:after="120" w:line="240" w:lineRule="auto"/>
        <w:jc w:val="center"/>
        <w:rPr>
          <w:b/>
          <w:sz w:val="24"/>
          <w:szCs w:val="24"/>
          <w:lang w:val="en" w:eastAsia="en-CA"/>
        </w:rPr>
      </w:pPr>
      <w:r>
        <w:rPr>
          <w:b/>
          <w:i/>
          <w:sz w:val="24"/>
          <w:szCs w:val="24"/>
        </w:rPr>
        <w:lastRenderedPageBreak/>
        <w:t xml:space="preserve">Indian Act, </w:t>
      </w:r>
      <w:r>
        <w:rPr>
          <w:b/>
          <w:sz w:val="24"/>
          <w:szCs w:val="24"/>
        </w:rPr>
        <w:t>RSC 1985 c I-5, s. 6</w:t>
      </w:r>
    </w:p>
    <w:p w:rsidR="00BD3314" w:rsidRDefault="00BD3314" w:rsidP="00BD3314">
      <w:pPr>
        <w:spacing w:before="168" w:after="120" w:line="240" w:lineRule="auto"/>
        <w:ind w:firstLine="360"/>
        <w:rPr>
          <w:sz w:val="24"/>
          <w:szCs w:val="24"/>
          <w:lang w:val="en" w:eastAsia="en-CA"/>
        </w:rPr>
      </w:pPr>
    </w:p>
    <w:p w:rsidR="00BD3314" w:rsidRDefault="00BD3314" w:rsidP="00BD3314">
      <w:pPr>
        <w:numPr>
          <w:ilvl w:val="0"/>
          <w:numId w:val="33"/>
        </w:numPr>
        <w:spacing w:before="168" w:after="120" w:line="240" w:lineRule="auto"/>
        <w:ind w:left="0"/>
        <w:rPr>
          <w:sz w:val="24"/>
          <w:szCs w:val="24"/>
          <w:lang w:val="en" w:eastAsia="en-CA"/>
        </w:rPr>
      </w:pPr>
      <w:r>
        <w:rPr>
          <w:b/>
          <w:bCs/>
          <w:color w:val="000000"/>
          <w:sz w:val="24"/>
          <w:szCs w:val="24"/>
          <w:lang w:val="en" w:eastAsia="en-CA"/>
        </w:rPr>
        <w:t>6</w:t>
      </w:r>
      <w:r>
        <w:rPr>
          <w:sz w:val="24"/>
          <w:szCs w:val="24"/>
          <w:lang w:val="en" w:eastAsia="en-CA"/>
        </w:rPr>
        <w:t> </w:t>
      </w:r>
      <w:r>
        <w:rPr>
          <w:b/>
          <w:bCs/>
          <w:color w:val="000000"/>
          <w:sz w:val="24"/>
          <w:szCs w:val="24"/>
          <w:lang w:val="en" w:eastAsia="en-CA"/>
        </w:rPr>
        <w:t>(1)</w:t>
      </w:r>
      <w:r>
        <w:rPr>
          <w:sz w:val="24"/>
          <w:szCs w:val="24"/>
          <w:lang w:val="en" w:eastAsia="en-CA"/>
        </w:rPr>
        <w:t> Subject to section 7, a person is entitled to be registered if</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(a)</w:t>
      </w:r>
      <w:r>
        <w:rPr>
          <w:sz w:val="24"/>
          <w:szCs w:val="24"/>
          <w:lang w:val="en" w:eastAsia="en-CA"/>
        </w:rPr>
        <w:t> </w:t>
      </w:r>
      <w:proofErr w:type="gramStart"/>
      <w:r>
        <w:rPr>
          <w:sz w:val="24"/>
          <w:szCs w:val="24"/>
          <w:lang w:val="en" w:eastAsia="en-CA"/>
        </w:rPr>
        <w:t>that</w:t>
      </w:r>
      <w:proofErr w:type="gramEnd"/>
      <w:r>
        <w:rPr>
          <w:sz w:val="24"/>
          <w:szCs w:val="24"/>
          <w:lang w:val="en" w:eastAsia="en-CA"/>
        </w:rPr>
        <w:t xml:space="preserve"> person was registered or entitled to be registered immediately prior to April 17, 1985;</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(b)</w:t>
      </w:r>
      <w:r>
        <w:rPr>
          <w:sz w:val="24"/>
          <w:szCs w:val="24"/>
          <w:lang w:val="en" w:eastAsia="en-CA"/>
        </w:rPr>
        <w:t> </w:t>
      </w:r>
      <w:proofErr w:type="gramStart"/>
      <w:r>
        <w:rPr>
          <w:sz w:val="24"/>
          <w:szCs w:val="24"/>
          <w:lang w:val="en" w:eastAsia="en-CA"/>
        </w:rPr>
        <w:t>that</w:t>
      </w:r>
      <w:proofErr w:type="gramEnd"/>
      <w:r>
        <w:rPr>
          <w:sz w:val="24"/>
          <w:szCs w:val="24"/>
          <w:lang w:val="en" w:eastAsia="en-CA"/>
        </w:rPr>
        <w:t xml:space="preserve"> person is a member of a body of persons that has been declared by the Governor in Council on or after April 17, 1985 to be a band for the purposes of this Act;</w:t>
      </w:r>
    </w:p>
    <w:p w:rsidR="00BD3314" w:rsidRDefault="00BD3314" w:rsidP="00BD3314">
      <w:pPr>
        <w:spacing w:before="168" w:after="120" w:line="240" w:lineRule="auto"/>
        <w:ind w:left="360"/>
        <w:rPr>
          <w:sz w:val="24"/>
          <w:szCs w:val="24"/>
          <w:lang w:val="en" w:eastAsia="en-CA"/>
        </w:rPr>
      </w:pPr>
      <w:proofErr w:type="gramStart"/>
      <w:r>
        <w:rPr>
          <w:b/>
          <w:bCs/>
          <w:color w:val="000000"/>
          <w:sz w:val="24"/>
          <w:szCs w:val="24"/>
          <w:lang w:val="en" w:eastAsia="en-CA"/>
        </w:rPr>
        <w:t>(c)</w:t>
      </w:r>
      <w:r>
        <w:rPr>
          <w:sz w:val="24"/>
          <w:szCs w:val="24"/>
          <w:lang w:val="en" w:eastAsia="en-CA"/>
        </w:rPr>
        <w:t> the name of that person was omitted or deleted from the Indian Register, or from a band list prior to September 4, 1951, under subparagraph 12(1)(a)(iv), paragraph 12(1)(b) or subsection 12(2) or under subparagraph 12(1)(a)(iii) pursuant to an order made under subsection 109(2), as each provision read immediately prior to April 17, 1985, or under any former provision of this Act relating to the same subject-matter as any of those provisions;</w:t>
      </w:r>
      <w:proofErr w:type="gramEnd"/>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(c.1)</w:t>
      </w:r>
      <w:r>
        <w:rPr>
          <w:sz w:val="24"/>
          <w:szCs w:val="24"/>
          <w:lang w:val="en" w:eastAsia="en-CA"/>
        </w:rPr>
        <w:t> that person</w:t>
      </w:r>
    </w:p>
    <w:p w:rsidR="00BD3314" w:rsidRDefault="00BD3314" w:rsidP="00BD3314">
      <w:pPr>
        <w:spacing w:before="168" w:after="120" w:line="240" w:lineRule="auto"/>
        <w:ind w:left="720"/>
        <w:rPr>
          <w:sz w:val="24"/>
          <w:szCs w:val="24"/>
          <w:lang w:val="en" w:eastAsia="en-CA"/>
        </w:rPr>
      </w:pPr>
      <w:proofErr w:type="gramStart"/>
      <w:r>
        <w:rPr>
          <w:b/>
          <w:bCs/>
          <w:color w:val="000000"/>
          <w:sz w:val="24"/>
          <w:szCs w:val="24"/>
          <w:lang w:val="en" w:eastAsia="en-CA"/>
        </w:rPr>
        <w:t>(i)</w:t>
      </w:r>
      <w:r>
        <w:rPr>
          <w:sz w:val="24"/>
          <w:szCs w:val="24"/>
          <w:lang w:val="en" w:eastAsia="en-CA"/>
        </w:rPr>
        <w:t> is a person whose mother’s name was, as a result of the mother’s marriage, omitted or deleted from the Indian Register, or from a band list prior to September 4, 1951, under paragraph 12(1)(b) or under subparagraph 12(1)(a)(iii) pursuant to an order made under subsection 109(2), as each provision read immediately prior to April 17, 1985, or under any former provision of this Act relating to the same subject-matter as any of those provisions,</w:t>
      </w:r>
      <w:proofErr w:type="gramEnd"/>
    </w:p>
    <w:p w:rsidR="00BD3314" w:rsidRDefault="00BD3314" w:rsidP="00BD3314">
      <w:pPr>
        <w:spacing w:before="168" w:after="120" w:line="240" w:lineRule="auto"/>
        <w:ind w:left="720"/>
        <w:rPr>
          <w:sz w:val="24"/>
          <w:szCs w:val="24"/>
          <w:lang w:val="en" w:eastAsia="en-CA"/>
        </w:rPr>
      </w:pPr>
      <w:r>
        <w:rPr>
          <w:b/>
          <w:bCs/>
          <w:color w:val="000000"/>
          <w:sz w:val="24"/>
          <w:szCs w:val="24"/>
          <w:lang w:val="en" w:eastAsia="en-CA"/>
        </w:rPr>
        <w:t>(ii)</w:t>
      </w:r>
      <w:r>
        <w:rPr>
          <w:sz w:val="24"/>
          <w:szCs w:val="24"/>
          <w:lang w:val="en" w:eastAsia="en-CA"/>
        </w:rPr>
        <w:t> is a person whose other parent is not entitled to be registered or, if no longer living, was not at the time of death entitled to be registered or was not an Indian at that time if the death occurred prior to September 4, 1951,</w:t>
      </w:r>
    </w:p>
    <w:p w:rsidR="00BD3314" w:rsidRDefault="00BD3314" w:rsidP="00BD3314">
      <w:pPr>
        <w:spacing w:before="168" w:after="120" w:line="240" w:lineRule="auto"/>
        <w:ind w:left="720"/>
        <w:rPr>
          <w:sz w:val="24"/>
          <w:szCs w:val="24"/>
          <w:lang w:val="en" w:eastAsia="en-CA"/>
        </w:rPr>
      </w:pPr>
      <w:r>
        <w:rPr>
          <w:b/>
          <w:bCs/>
          <w:color w:val="000000"/>
          <w:sz w:val="24"/>
          <w:szCs w:val="24"/>
          <w:lang w:val="en" w:eastAsia="en-CA"/>
        </w:rPr>
        <w:t>(iii)</w:t>
      </w:r>
      <w:r>
        <w:rPr>
          <w:sz w:val="24"/>
          <w:szCs w:val="24"/>
          <w:lang w:val="en" w:eastAsia="en-CA"/>
        </w:rPr>
        <w:t> was born on or after the day on which the marriage referred to in subparagraph (i) occurred and, unless the person’s parents married each other prior to April 17, 1985, was born prior to that date, and</w:t>
      </w:r>
    </w:p>
    <w:p w:rsidR="00BD3314" w:rsidRDefault="00BD3314" w:rsidP="00BD3314">
      <w:pPr>
        <w:spacing w:before="168" w:after="120" w:line="240" w:lineRule="auto"/>
        <w:ind w:left="720"/>
        <w:rPr>
          <w:sz w:val="24"/>
          <w:szCs w:val="24"/>
          <w:lang w:val="en" w:eastAsia="en-CA"/>
        </w:rPr>
      </w:pPr>
      <w:r>
        <w:rPr>
          <w:b/>
          <w:bCs/>
          <w:color w:val="000000"/>
          <w:sz w:val="24"/>
          <w:szCs w:val="24"/>
          <w:lang w:val="en" w:eastAsia="en-CA"/>
        </w:rPr>
        <w:t>(iv)</w:t>
      </w:r>
      <w:r>
        <w:rPr>
          <w:sz w:val="24"/>
          <w:szCs w:val="24"/>
          <w:lang w:val="en" w:eastAsia="en-CA"/>
        </w:rPr>
        <w:t> had or adopted a child, on or after September 4, 1951, with a person who was not entitled to be registered on the day on which the child was born or adopted;</w:t>
      </w:r>
    </w:p>
    <w:p w:rsidR="00BD3314" w:rsidRDefault="00BD3314" w:rsidP="00BD3314">
      <w:pPr>
        <w:spacing w:before="168" w:after="120" w:line="240" w:lineRule="auto"/>
        <w:ind w:left="360"/>
        <w:rPr>
          <w:sz w:val="24"/>
          <w:szCs w:val="24"/>
          <w:lang w:val="en" w:eastAsia="en-CA"/>
        </w:rPr>
      </w:pPr>
      <w:proofErr w:type="gramStart"/>
      <w:r>
        <w:rPr>
          <w:b/>
          <w:bCs/>
          <w:color w:val="000000"/>
          <w:sz w:val="24"/>
          <w:szCs w:val="24"/>
          <w:lang w:val="en" w:eastAsia="en-CA"/>
        </w:rPr>
        <w:t>(d)</w:t>
      </w:r>
      <w:r>
        <w:rPr>
          <w:sz w:val="24"/>
          <w:szCs w:val="24"/>
          <w:lang w:val="en" w:eastAsia="en-CA"/>
        </w:rPr>
        <w:t> the name of that person was omitted or deleted from the Indian Register, or from a band list prior to September 4, 1951, under subparagraph 12(1)(a)(iii) pursuant to an order made under subsection 109(1), as each provision read immediately prior to April 17, 1985, or under any former provision of this Act relating to the same subject-matter as any of those provisions;</w:t>
      </w:r>
      <w:proofErr w:type="gramEnd"/>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(e)</w:t>
      </w:r>
      <w:r>
        <w:rPr>
          <w:sz w:val="24"/>
          <w:szCs w:val="24"/>
          <w:lang w:val="en" w:eastAsia="en-CA"/>
        </w:rPr>
        <w:t> </w:t>
      </w:r>
      <w:proofErr w:type="gramStart"/>
      <w:r>
        <w:rPr>
          <w:sz w:val="24"/>
          <w:szCs w:val="24"/>
          <w:lang w:val="en" w:eastAsia="en-CA"/>
        </w:rPr>
        <w:t>the</w:t>
      </w:r>
      <w:proofErr w:type="gramEnd"/>
      <w:r>
        <w:rPr>
          <w:sz w:val="24"/>
          <w:szCs w:val="24"/>
          <w:lang w:val="en" w:eastAsia="en-CA"/>
        </w:rPr>
        <w:t xml:space="preserve"> name of that person was omitted or deleted from the Indian Register, or from a band list prior to September 4, 1951,</w:t>
      </w:r>
    </w:p>
    <w:p w:rsidR="00BD3314" w:rsidRDefault="00BD3314" w:rsidP="00BD3314">
      <w:pPr>
        <w:spacing w:before="168" w:after="120" w:line="240" w:lineRule="auto"/>
        <w:ind w:left="720"/>
        <w:rPr>
          <w:sz w:val="24"/>
          <w:szCs w:val="24"/>
          <w:lang w:val="en" w:eastAsia="en-CA"/>
        </w:rPr>
      </w:pPr>
      <w:r>
        <w:rPr>
          <w:b/>
          <w:bCs/>
          <w:color w:val="000000"/>
          <w:sz w:val="24"/>
          <w:szCs w:val="24"/>
          <w:lang w:val="en" w:eastAsia="en-CA"/>
        </w:rPr>
        <w:t>(i)</w:t>
      </w:r>
      <w:r>
        <w:rPr>
          <w:sz w:val="24"/>
          <w:szCs w:val="24"/>
          <w:lang w:val="en" w:eastAsia="en-CA"/>
        </w:rPr>
        <w:t> under section 13, as it read immediately prior to September 4, 1951, or under any former provision of this Act relating to the same subject-matter as that section, or</w:t>
      </w:r>
    </w:p>
    <w:p w:rsidR="00BD3314" w:rsidRDefault="00BD3314" w:rsidP="00BD3314">
      <w:pPr>
        <w:spacing w:before="168" w:after="120" w:line="240" w:lineRule="auto"/>
        <w:ind w:left="720"/>
        <w:rPr>
          <w:sz w:val="24"/>
          <w:szCs w:val="24"/>
          <w:lang w:val="en" w:eastAsia="en-CA"/>
        </w:rPr>
      </w:pPr>
      <w:r>
        <w:rPr>
          <w:b/>
          <w:bCs/>
          <w:color w:val="000000"/>
          <w:sz w:val="24"/>
          <w:szCs w:val="24"/>
          <w:lang w:val="en" w:eastAsia="en-CA"/>
        </w:rPr>
        <w:t>(ii)</w:t>
      </w:r>
      <w:r>
        <w:rPr>
          <w:sz w:val="24"/>
          <w:szCs w:val="24"/>
          <w:lang w:val="en" w:eastAsia="en-CA"/>
        </w:rPr>
        <w:t> under section 111, as it read immediately prior to July 1, 1920, or under any former provision of this Act relating to the same subject-matter as that section; or</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lastRenderedPageBreak/>
        <w:t>(f)</w:t>
      </w:r>
      <w:r>
        <w:rPr>
          <w:sz w:val="24"/>
          <w:szCs w:val="24"/>
          <w:lang w:val="en" w:eastAsia="en-CA"/>
        </w:rPr>
        <w:t> </w:t>
      </w:r>
      <w:proofErr w:type="gramStart"/>
      <w:r>
        <w:rPr>
          <w:sz w:val="24"/>
          <w:szCs w:val="24"/>
          <w:lang w:val="en" w:eastAsia="en-CA"/>
        </w:rPr>
        <w:t>that</w:t>
      </w:r>
      <w:proofErr w:type="gramEnd"/>
      <w:r>
        <w:rPr>
          <w:sz w:val="24"/>
          <w:szCs w:val="24"/>
          <w:lang w:val="en" w:eastAsia="en-CA"/>
        </w:rPr>
        <w:t xml:space="preserve"> person is a person both of whose parents are or, if no longer living, were at the time of death entitled to be registered under this section.</w:t>
      </w:r>
    </w:p>
    <w:p w:rsidR="00BD3314" w:rsidRDefault="00BD3314" w:rsidP="00BD3314">
      <w:pPr>
        <w:spacing w:before="168" w:after="120" w:line="240" w:lineRule="auto"/>
        <w:rPr>
          <w:b/>
          <w:bCs/>
          <w:lang w:val="en" w:eastAsia="en-CA"/>
        </w:rPr>
      </w:pPr>
    </w:p>
    <w:p w:rsidR="00BD3314" w:rsidRDefault="00BD3314" w:rsidP="00BD3314">
      <w:pPr>
        <w:spacing w:before="168" w:after="120" w:line="240" w:lineRule="auto"/>
        <w:rPr>
          <w:sz w:val="24"/>
          <w:szCs w:val="24"/>
          <w:lang w:val="en" w:eastAsia="en-CA"/>
        </w:rPr>
      </w:pPr>
      <w:r>
        <w:rPr>
          <w:b/>
          <w:bCs/>
          <w:color w:val="000000"/>
          <w:sz w:val="24"/>
          <w:szCs w:val="24"/>
          <w:lang w:val="en" w:eastAsia="en-CA"/>
        </w:rPr>
        <w:t>(2)</w:t>
      </w:r>
      <w:r>
        <w:rPr>
          <w:sz w:val="24"/>
          <w:szCs w:val="24"/>
          <w:lang w:val="en" w:eastAsia="en-CA"/>
        </w:rPr>
        <w:t xml:space="preserve"> Subject to section 7, a person is entitled to be registered if that person is a person one of whose parents is or, if no longer </w:t>
      </w:r>
      <w:proofErr w:type="gramStart"/>
      <w:r>
        <w:rPr>
          <w:sz w:val="24"/>
          <w:szCs w:val="24"/>
          <w:lang w:val="en" w:eastAsia="en-CA"/>
        </w:rPr>
        <w:t>living,</w:t>
      </w:r>
      <w:proofErr w:type="gramEnd"/>
      <w:r>
        <w:rPr>
          <w:sz w:val="24"/>
          <w:szCs w:val="24"/>
          <w:lang w:val="en" w:eastAsia="en-CA"/>
        </w:rPr>
        <w:t xml:space="preserve"> was at the time of death entitled to be registered under subsection (1).</w:t>
      </w:r>
    </w:p>
    <w:p w:rsidR="00BD3314" w:rsidRDefault="00BD3314" w:rsidP="00BD3314">
      <w:pPr>
        <w:numPr>
          <w:ilvl w:val="0"/>
          <w:numId w:val="34"/>
        </w:numPr>
        <w:spacing w:before="168" w:after="120" w:line="240" w:lineRule="auto"/>
        <w:ind w:left="0"/>
        <w:rPr>
          <w:sz w:val="24"/>
          <w:szCs w:val="24"/>
          <w:lang w:val="en" w:eastAsia="en-CA"/>
        </w:rPr>
      </w:pPr>
      <w:r>
        <w:rPr>
          <w:b/>
          <w:bCs/>
          <w:color w:val="000000"/>
          <w:sz w:val="24"/>
          <w:szCs w:val="24"/>
          <w:lang w:val="en" w:eastAsia="en-CA"/>
        </w:rPr>
        <w:t>(3)</w:t>
      </w:r>
      <w:r>
        <w:rPr>
          <w:sz w:val="24"/>
          <w:szCs w:val="24"/>
          <w:lang w:val="en" w:eastAsia="en-CA"/>
        </w:rPr>
        <w:t> For the purposes of paragraph (1)(f) and subsection (2),</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(a)</w:t>
      </w:r>
      <w:r>
        <w:rPr>
          <w:sz w:val="24"/>
          <w:szCs w:val="24"/>
          <w:lang w:val="en" w:eastAsia="en-CA"/>
        </w:rPr>
        <w:t> a person who was no longer living immediately prior to April 17, 1985 but who was at the time of death entitled to be registered shall be deemed to be entitled to be registered under paragraph (1)(a);</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(b)</w:t>
      </w:r>
      <w:r>
        <w:rPr>
          <w:sz w:val="24"/>
          <w:szCs w:val="24"/>
          <w:lang w:val="en" w:eastAsia="en-CA"/>
        </w:rPr>
        <w:t> a person described in paragraph (1)(c), (d), (e) or (f) or subsection (2) and who was no longer living on April 17, 1985 shall be deemed to be entitled to be registered under that provision; and</w:t>
      </w:r>
    </w:p>
    <w:p w:rsidR="00BD3314" w:rsidRDefault="00BD3314" w:rsidP="00BD3314">
      <w:pPr>
        <w:spacing w:before="168" w:after="120" w:line="240" w:lineRule="auto"/>
        <w:ind w:left="360"/>
        <w:rPr>
          <w:sz w:val="24"/>
          <w:szCs w:val="24"/>
          <w:lang w:val="en" w:eastAsia="en-CA"/>
        </w:rPr>
      </w:pPr>
      <w:r>
        <w:rPr>
          <w:b/>
          <w:bCs/>
          <w:color w:val="000000"/>
          <w:sz w:val="24"/>
          <w:szCs w:val="24"/>
          <w:lang w:val="en" w:eastAsia="en-CA"/>
        </w:rPr>
        <w:t>(c)</w:t>
      </w:r>
      <w:r>
        <w:rPr>
          <w:sz w:val="24"/>
          <w:szCs w:val="24"/>
          <w:lang w:val="en" w:eastAsia="en-CA"/>
        </w:rPr>
        <w:t> a person described in paragraph (1)(c.1) and who was no longer living on the day on which that paragraph comes into force is deemed to be entitled to be registered under that paragraph.</w:t>
      </w:r>
    </w:p>
    <w:p w:rsidR="00813A3E" w:rsidRPr="00DB384A" w:rsidRDefault="00813A3E" w:rsidP="004251D7">
      <w:pPr>
        <w:pStyle w:val="FactumBodyL1"/>
        <w:numPr>
          <w:ilvl w:val="0"/>
          <w:numId w:val="0"/>
        </w:numPr>
        <w:spacing w:after="120"/>
        <w:rPr>
          <w:rFonts w:ascii="Times New Roman" w:hAnsi="Times New Roman" w:cs="Times New Roman"/>
          <w:sz w:val="24"/>
          <w:szCs w:val="24"/>
        </w:rPr>
        <w:sectPr w:rsidR="00813A3E" w:rsidRPr="00DB384A" w:rsidSect="00525010">
          <w:pgSz w:w="12240" w:h="15840" w:code="1"/>
          <w:pgMar w:top="1440" w:right="1440" w:bottom="1080" w:left="1440" w:header="720" w:footer="576" w:gutter="0"/>
          <w:pgNumType w:start="24"/>
          <w:cols w:space="720"/>
          <w:docGrid w:linePitch="360"/>
        </w:sectPr>
      </w:pPr>
    </w:p>
    <w:tbl>
      <w:tblPr>
        <w:tblW w:w="4981" w:type="pct"/>
        <w:tblLook w:val="04A0" w:firstRow="1" w:lastRow="0" w:firstColumn="1" w:lastColumn="0" w:noHBand="0" w:noVBand="1"/>
      </w:tblPr>
      <w:tblGrid>
        <w:gridCol w:w="3258"/>
        <w:gridCol w:w="1079"/>
        <w:gridCol w:w="4466"/>
        <w:gridCol w:w="4682"/>
      </w:tblGrid>
      <w:tr w:rsidR="004F42C3" w:rsidRPr="00DB384A" w:rsidTr="00D57D32">
        <w:trPr>
          <w:cantSplit/>
          <w:trHeight w:val="900"/>
        </w:trPr>
        <w:tc>
          <w:tcPr>
            <w:tcW w:w="1208" w:type="pct"/>
            <w:hideMark/>
          </w:tcPr>
          <w:p w:rsidR="004F42C3" w:rsidRPr="00DB384A" w:rsidRDefault="004F42C3" w:rsidP="004251D7">
            <w:pPr>
              <w:spacing w:after="120"/>
              <w:rPr>
                <w:sz w:val="24"/>
                <w:szCs w:val="24"/>
              </w:rPr>
            </w:pPr>
            <w:r w:rsidRPr="00DB384A">
              <w:rPr>
                <w:sz w:val="24"/>
                <w:szCs w:val="24"/>
              </w:rPr>
              <w:lastRenderedPageBreak/>
              <w:t>GEHL</w:t>
            </w:r>
          </w:p>
        </w:tc>
        <w:tc>
          <w:tcPr>
            <w:tcW w:w="400" w:type="pct"/>
            <w:hideMark/>
          </w:tcPr>
          <w:p w:rsidR="004F42C3" w:rsidRPr="00DB384A" w:rsidRDefault="004F42C3" w:rsidP="004251D7">
            <w:pPr>
              <w:spacing w:after="120"/>
              <w:jc w:val="center"/>
              <w:rPr>
                <w:sz w:val="24"/>
                <w:szCs w:val="24"/>
              </w:rPr>
            </w:pPr>
            <w:r w:rsidRPr="00DB384A">
              <w:rPr>
                <w:sz w:val="24"/>
                <w:szCs w:val="24"/>
              </w:rPr>
              <w:t>v.</w:t>
            </w:r>
          </w:p>
        </w:tc>
        <w:tc>
          <w:tcPr>
            <w:tcW w:w="1656" w:type="pct"/>
            <w:hideMark/>
          </w:tcPr>
          <w:p w:rsidR="004F42C3" w:rsidRPr="00DB384A" w:rsidRDefault="004F42C3" w:rsidP="004251D7">
            <w:pPr>
              <w:spacing w:after="120"/>
              <w:rPr>
                <w:sz w:val="24"/>
                <w:szCs w:val="24"/>
              </w:rPr>
            </w:pPr>
            <w:r w:rsidRPr="00DB384A">
              <w:rPr>
                <w:sz w:val="24"/>
                <w:szCs w:val="24"/>
              </w:rPr>
              <w:t>ATTORNEY GENERAL (CANADA)</w:t>
            </w:r>
          </w:p>
        </w:tc>
        <w:tc>
          <w:tcPr>
            <w:tcW w:w="1736" w:type="pct"/>
            <w:vAlign w:val="center"/>
          </w:tcPr>
          <w:p w:rsidR="004F42C3" w:rsidRPr="00DB384A" w:rsidRDefault="004F42C3" w:rsidP="004251D7">
            <w:pPr>
              <w:spacing w:after="120"/>
              <w:jc w:val="center"/>
              <w:rPr>
                <w:sz w:val="24"/>
                <w:szCs w:val="24"/>
              </w:rPr>
            </w:pPr>
            <w:r w:rsidRPr="00DB384A">
              <w:rPr>
                <w:sz w:val="24"/>
                <w:szCs w:val="24"/>
              </w:rPr>
              <w:t xml:space="preserve">Court of Appeal File No. </w:t>
            </w:r>
            <w:r w:rsidR="00F36B60" w:rsidRPr="00DB384A">
              <w:rPr>
                <w:sz w:val="24"/>
                <w:szCs w:val="24"/>
              </w:rPr>
              <w:t>C607</w:t>
            </w:r>
            <w:r w:rsidRPr="00DB384A">
              <w:rPr>
                <w:sz w:val="24"/>
                <w:szCs w:val="24"/>
              </w:rPr>
              <w:t>06</w:t>
            </w:r>
          </w:p>
          <w:p w:rsidR="004F42C3" w:rsidRPr="00DB384A" w:rsidRDefault="004F42C3" w:rsidP="004251D7">
            <w:pPr>
              <w:spacing w:after="120"/>
              <w:jc w:val="center"/>
              <w:rPr>
                <w:sz w:val="24"/>
                <w:szCs w:val="24"/>
              </w:rPr>
            </w:pPr>
          </w:p>
          <w:p w:rsidR="004F42C3" w:rsidRPr="00DB384A" w:rsidRDefault="004F42C3" w:rsidP="004251D7">
            <w:pPr>
              <w:spacing w:after="120"/>
              <w:jc w:val="center"/>
              <w:rPr>
                <w:sz w:val="24"/>
                <w:szCs w:val="24"/>
              </w:rPr>
            </w:pPr>
          </w:p>
        </w:tc>
      </w:tr>
      <w:tr w:rsidR="004F42C3" w:rsidRPr="00DB384A" w:rsidTr="004F42C3">
        <w:trPr>
          <w:cantSplit/>
          <w:trHeight w:val="1779"/>
        </w:trPr>
        <w:tc>
          <w:tcPr>
            <w:tcW w:w="3264" w:type="pct"/>
            <w:gridSpan w:val="3"/>
            <w:tcBorders>
              <w:top w:val="single" w:sz="12" w:space="0" w:color="auto"/>
              <w:left w:val="nil"/>
              <w:bottom w:val="nil"/>
              <w:right w:val="single" w:sz="12" w:space="0" w:color="auto"/>
            </w:tcBorders>
          </w:tcPr>
          <w:p w:rsidR="004F42C3" w:rsidRPr="00DB384A" w:rsidRDefault="004F42C3" w:rsidP="004251D7">
            <w:pPr>
              <w:spacing w:after="120"/>
              <w:jc w:val="both"/>
              <w:rPr>
                <w:sz w:val="24"/>
                <w:szCs w:val="24"/>
              </w:rPr>
            </w:pPr>
          </w:p>
        </w:tc>
        <w:tc>
          <w:tcPr>
            <w:tcW w:w="1736" w:type="pct"/>
            <w:tcBorders>
              <w:top w:val="single" w:sz="12" w:space="0" w:color="auto"/>
              <w:left w:val="nil"/>
              <w:bottom w:val="nil"/>
              <w:right w:val="nil"/>
            </w:tcBorders>
            <w:vAlign w:val="center"/>
            <w:hideMark/>
          </w:tcPr>
          <w:p w:rsidR="004F42C3" w:rsidRPr="00DB384A" w:rsidRDefault="004F42C3" w:rsidP="004251D7">
            <w:pPr>
              <w:spacing w:after="120"/>
              <w:jc w:val="center"/>
              <w:rPr>
                <w:b/>
                <w:sz w:val="24"/>
                <w:szCs w:val="24"/>
              </w:rPr>
            </w:pPr>
            <w:r w:rsidRPr="00DB384A">
              <w:rPr>
                <w:b/>
                <w:sz w:val="24"/>
                <w:szCs w:val="24"/>
              </w:rPr>
              <w:t>COURT OF APPEAL FOR ONTARIO</w:t>
            </w:r>
          </w:p>
          <w:p w:rsidR="004F42C3" w:rsidRPr="00DB384A" w:rsidRDefault="004F42C3" w:rsidP="004251D7">
            <w:pPr>
              <w:spacing w:after="120"/>
              <w:jc w:val="center"/>
              <w:rPr>
                <w:sz w:val="24"/>
                <w:szCs w:val="24"/>
              </w:rPr>
            </w:pPr>
            <w:r w:rsidRPr="00DB384A">
              <w:rPr>
                <w:sz w:val="24"/>
                <w:szCs w:val="24"/>
              </w:rPr>
              <w:t>Proceeding commenced at Toronto</w:t>
            </w:r>
          </w:p>
        </w:tc>
      </w:tr>
      <w:tr w:rsidR="004F42C3" w:rsidRPr="00DB384A" w:rsidTr="004F42C3">
        <w:trPr>
          <w:cantSplit/>
          <w:trHeight w:val="1296"/>
        </w:trPr>
        <w:tc>
          <w:tcPr>
            <w:tcW w:w="3264" w:type="pct"/>
            <w:gridSpan w:val="3"/>
            <w:tcBorders>
              <w:top w:val="nil"/>
              <w:left w:val="nil"/>
              <w:bottom w:val="nil"/>
              <w:right w:val="single" w:sz="12" w:space="0" w:color="auto"/>
            </w:tcBorders>
          </w:tcPr>
          <w:p w:rsidR="004F42C3" w:rsidRPr="00DB384A" w:rsidRDefault="004F42C3" w:rsidP="004251D7">
            <w:pPr>
              <w:spacing w:after="120"/>
              <w:jc w:val="both"/>
              <w:rPr>
                <w:sz w:val="24"/>
                <w:szCs w:val="24"/>
              </w:rPr>
            </w:pPr>
          </w:p>
        </w:tc>
        <w:tc>
          <w:tcPr>
            <w:tcW w:w="1736" w:type="pct"/>
            <w:tcBorders>
              <w:top w:val="double" w:sz="6" w:space="0" w:color="auto"/>
              <w:left w:val="nil"/>
              <w:bottom w:val="double" w:sz="6" w:space="0" w:color="auto"/>
              <w:right w:val="nil"/>
            </w:tcBorders>
            <w:vAlign w:val="center"/>
            <w:hideMark/>
          </w:tcPr>
          <w:p w:rsidR="004F42C3" w:rsidRPr="00DB384A" w:rsidRDefault="004F42C3" w:rsidP="004251D7">
            <w:pPr>
              <w:spacing w:after="120"/>
              <w:jc w:val="center"/>
              <w:rPr>
                <w:b/>
                <w:sz w:val="24"/>
                <w:szCs w:val="24"/>
              </w:rPr>
            </w:pPr>
            <w:r w:rsidRPr="00DB384A">
              <w:rPr>
                <w:b/>
                <w:sz w:val="24"/>
                <w:szCs w:val="24"/>
              </w:rPr>
              <w:t xml:space="preserve">FACTUM OF THE WOMEN’S LEGAL </w:t>
            </w:r>
            <w:r w:rsidR="00F36B60" w:rsidRPr="00DB384A">
              <w:rPr>
                <w:b/>
                <w:sz w:val="24"/>
                <w:szCs w:val="24"/>
              </w:rPr>
              <w:t xml:space="preserve">EDUCATION AND ACTION FUND INC. </w:t>
            </w:r>
          </w:p>
        </w:tc>
      </w:tr>
      <w:tr w:rsidR="004F42C3" w:rsidRPr="00DB384A" w:rsidTr="004F42C3">
        <w:trPr>
          <w:cantSplit/>
          <w:trHeight w:val="3582"/>
        </w:trPr>
        <w:tc>
          <w:tcPr>
            <w:tcW w:w="3264" w:type="pct"/>
            <w:gridSpan w:val="3"/>
            <w:tcBorders>
              <w:top w:val="nil"/>
              <w:left w:val="nil"/>
              <w:bottom w:val="nil"/>
              <w:right w:val="single" w:sz="12" w:space="0" w:color="auto"/>
            </w:tcBorders>
          </w:tcPr>
          <w:p w:rsidR="004F42C3" w:rsidRPr="00DB384A" w:rsidRDefault="004F42C3" w:rsidP="004251D7">
            <w:pPr>
              <w:spacing w:after="120"/>
              <w:jc w:val="both"/>
              <w:rPr>
                <w:sz w:val="24"/>
                <w:szCs w:val="24"/>
              </w:rPr>
            </w:pPr>
          </w:p>
        </w:tc>
        <w:tc>
          <w:tcPr>
            <w:tcW w:w="1736" w:type="pct"/>
            <w:vAlign w:val="center"/>
          </w:tcPr>
          <w:p w:rsidR="004F42C3" w:rsidRPr="00DB384A" w:rsidRDefault="004F42C3" w:rsidP="0066567D">
            <w:pPr>
              <w:keepLines/>
              <w:spacing w:after="0" w:line="240" w:lineRule="auto"/>
              <w:rPr>
                <w:b/>
                <w:sz w:val="24"/>
                <w:szCs w:val="24"/>
              </w:rPr>
            </w:pPr>
            <w:r w:rsidRPr="00DB384A">
              <w:rPr>
                <w:b/>
                <w:sz w:val="24"/>
                <w:szCs w:val="24"/>
              </w:rPr>
              <w:t>Olthuis Kleer Townshend LLP</w:t>
            </w:r>
          </w:p>
          <w:p w:rsidR="004F42C3" w:rsidRPr="00DB384A" w:rsidRDefault="004F42C3" w:rsidP="0066567D">
            <w:pPr>
              <w:keepLines/>
              <w:spacing w:after="0" w:line="240" w:lineRule="auto"/>
              <w:rPr>
                <w:sz w:val="24"/>
                <w:szCs w:val="24"/>
              </w:rPr>
            </w:pPr>
            <w:r w:rsidRPr="00DB384A">
              <w:rPr>
                <w:sz w:val="24"/>
                <w:szCs w:val="24"/>
              </w:rPr>
              <w:t>250 University Ave, 8</w:t>
            </w:r>
            <w:r w:rsidRPr="00DB384A">
              <w:rPr>
                <w:sz w:val="24"/>
                <w:szCs w:val="24"/>
                <w:vertAlign w:val="superscript"/>
              </w:rPr>
              <w:t>th</w:t>
            </w:r>
            <w:r w:rsidRPr="00DB384A">
              <w:rPr>
                <w:sz w:val="24"/>
                <w:szCs w:val="24"/>
              </w:rPr>
              <w:t xml:space="preserve"> Floor</w:t>
            </w:r>
          </w:p>
          <w:p w:rsidR="004F42C3" w:rsidRPr="00DB384A" w:rsidRDefault="004F42C3" w:rsidP="0066567D">
            <w:pPr>
              <w:keepLines/>
              <w:spacing w:after="0" w:line="240" w:lineRule="auto"/>
              <w:rPr>
                <w:sz w:val="24"/>
                <w:szCs w:val="24"/>
                <w:lang w:val="fr-CA"/>
              </w:rPr>
            </w:pPr>
            <w:r w:rsidRPr="00DB384A">
              <w:rPr>
                <w:sz w:val="24"/>
                <w:szCs w:val="24"/>
                <w:lang w:val="fr-CA"/>
              </w:rPr>
              <w:t>Toronto ON M5H 3E5</w:t>
            </w:r>
          </w:p>
          <w:p w:rsidR="00D57D32" w:rsidRPr="00DB384A" w:rsidRDefault="00D57D32" w:rsidP="0066567D">
            <w:pPr>
              <w:keepLines/>
              <w:spacing w:after="0" w:line="240" w:lineRule="auto"/>
              <w:rPr>
                <w:sz w:val="24"/>
                <w:szCs w:val="24"/>
                <w:lang w:val="fr-CA"/>
              </w:rPr>
            </w:pPr>
          </w:p>
          <w:p w:rsidR="004F42C3" w:rsidRPr="00DB384A" w:rsidRDefault="00D57D32" w:rsidP="0066567D">
            <w:pPr>
              <w:keepLines/>
              <w:spacing w:after="0" w:line="240" w:lineRule="auto"/>
              <w:rPr>
                <w:sz w:val="24"/>
                <w:szCs w:val="24"/>
                <w:lang w:val="fr-CA"/>
              </w:rPr>
            </w:pPr>
            <w:r w:rsidRPr="00DB384A">
              <w:rPr>
                <w:sz w:val="24"/>
                <w:szCs w:val="24"/>
                <w:lang w:val="fr-CA"/>
              </w:rPr>
              <w:t>Renée Pelletier LSUC # 46966N</w:t>
            </w:r>
          </w:p>
          <w:p w:rsidR="00D57D32" w:rsidRPr="00DB384A" w:rsidRDefault="00D57D32" w:rsidP="0066567D">
            <w:pPr>
              <w:keepLines/>
              <w:spacing w:after="0" w:line="240" w:lineRule="auto"/>
              <w:rPr>
                <w:sz w:val="24"/>
                <w:szCs w:val="24"/>
              </w:rPr>
            </w:pPr>
            <w:r w:rsidRPr="00DB384A">
              <w:rPr>
                <w:sz w:val="24"/>
                <w:szCs w:val="24"/>
              </w:rPr>
              <w:t>Tel: 416-981-9456</w:t>
            </w:r>
          </w:p>
          <w:p w:rsidR="00D57D32" w:rsidRPr="00DB384A" w:rsidRDefault="00D57D32" w:rsidP="0066567D">
            <w:pPr>
              <w:keepLines/>
              <w:spacing w:after="0" w:line="240" w:lineRule="auto"/>
              <w:rPr>
                <w:sz w:val="24"/>
                <w:szCs w:val="24"/>
              </w:rPr>
            </w:pPr>
          </w:p>
          <w:p w:rsidR="00D57D32" w:rsidRPr="00DB384A" w:rsidRDefault="00D57D32" w:rsidP="0066567D">
            <w:pPr>
              <w:keepLines/>
              <w:spacing w:after="0" w:line="240" w:lineRule="auto"/>
              <w:rPr>
                <w:sz w:val="24"/>
                <w:szCs w:val="24"/>
              </w:rPr>
            </w:pPr>
            <w:r w:rsidRPr="00DB384A">
              <w:rPr>
                <w:sz w:val="24"/>
                <w:szCs w:val="24"/>
              </w:rPr>
              <w:t xml:space="preserve">Krista Nerland LSUC # </w:t>
            </w:r>
            <w:r w:rsidR="003C67B7" w:rsidRPr="00DB384A">
              <w:rPr>
                <w:sz w:val="24"/>
                <w:szCs w:val="24"/>
              </w:rPr>
              <w:t>67574L</w:t>
            </w:r>
          </w:p>
          <w:p w:rsidR="00D57D32" w:rsidRPr="00DB384A" w:rsidRDefault="00D57D32" w:rsidP="0066567D">
            <w:pPr>
              <w:keepLines/>
              <w:spacing w:after="0" w:line="240" w:lineRule="auto"/>
              <w:rPr>
                <w:sz w:val="24"/>
                <w:szCs w:val="24"/>
              </w:rPr>
            </w:pPr>
            <w:r w:rsidRPr="00DB384A">
              <w:rPr>
                <w:sz w:val="24"/>
                <w:szCs w:val="24"/>
              </w:rPr>
              <w:t>Tel: 416-981-9356</w:t>
            </w:r>
          </w:p>
          <w:p w:rsidR="00D57D32" w:rsidRPr="00DB384A" w:rsidRDefault="00D57D32" w:rsidP="0066567D">
            <w:pPr>
              <w:keepLines/>
              <w:spacing w:after="0" w:line="240" w:lineRule="auto"/>
              <w:rPr>
                <w:sz w:val="24"/>
                <w:szCs w:val="24"/>
              </w:rPr>
            </w:pPr>
            <w:r w:rsidRPr="00DB384A">
              <w:rPr>
                <w:sz w:val="24"/>
                <w:szCs w:val="24"/>
              </w:rPr>
              <w:t>Fax: 416-981-9350</w:t>
            </w:r>
          </w:p>
          <w:p w:rsidR="00D57D32" w:rsidRPr="00DB384A" w:rsidRDefault="00D57D32" w:rsidP="0066567D">
            <w:pPr>
              <w:keepLines/>
              <w:spacing w:after="0" w:line="240" w:lineRule="auto"/>
              <w:rPr>
                <w:sz w:val="24"/>
                <w:szCs w:val="24"/>
              </w:rPr>
            </w:pPr>
          </w:p>
          <w:p w:rsidR="00D57D32" w:rsidRPr="00DB384A" w:rsidRDefault="00D57D32" w:rsidP="0066567D">
            <w:pPr>
              <w:keepLines/>
              <w:spacing w:after="0" w:line="240" w:lineRule="auto"/>
              <w:rPr>
                <w:sz w:val="24"/>
                <w:szCs w:val="24"/>
              </w:rPr>
            </w:pPr>
            <w:r w:rsidRPr="00DB384A">
              <w:rPr>
                <w:sz w:val="24"/>
                <w:szCs w:val="24"/>
              </w:rPr>
              <w:t>Counsel for the Women’s Legal Education and Action Fund Inc.</w:t>
            </w:r>
            <w:r w:rsidRPr="00DB384A">
              <w:rPr>
                <w:b/>
                <w:sz w:val="24"/>
                <w:szCs w:val="24"/>
              </w:rPr>
              <w:t xml:space="preserve"> (LEAF)</w:t>
            </w:r>
          </w:p>
        </w:tc>
      </w:tr>
    </w:tbl>
    <w:p w:rsidR="00813A3E" w:rsidRPr="00DB384A" w:rsidRDefault="00813A3E" w:rsidP="004251D7">
      <w:pPr>
        <w:pStyle w:val="FactumBodyL1"/>
        <w:numPr>
          <w:ilvl w:val="0"/>
          <w:numId w:val="0"/>
        </w:numPr>
        <w:spacing w:after="120"/>
        <w:rPr>
          <w:rFonts w:ascii="Times New Roman" w:hAnsi="Times New Roman" w:cs="Times New Roman"/>
          <w:sz w:val="24"/>
          <w:szCs w:val="24"/>
        </w:rPr>
      </w:pPr>
    </w:p>
    <w:sectPr w:rsidR="00813A3E" w:rsidRPr="00DB384A" w:rsidSect="00813A3E">
      <w:footerReference w:type="first" r:id="rId22"/>
      <w:pgSz w:w="15840" w:h="12240" w:orient="landscape" w:code="1"/>
      <w:pgMar w:top="1440" w:right="1080" w:bottom="1440" w:left="1440" w:header="720" w:footer="576"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34D4D" w15:done="0"/>
  <w15:commentEx w15:paraId="180461AF" w15:done="0"/>
  <w15:commentEx w15:paraId="40E65DC3" w15:done="0"/>
  <w15:commentEx w15:paraId="20674F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12" w:rsidRDefault="00D41D12">
      <w:r>
        <w:separator/>
      </w:r>
    </w:p>
  </w:endnote>
  <w:endnote w:type="continuationSeparator" w:id="0">
    <w:p w:rsidR="00D41D12" w:rsidRDefault="00D41D12">
      <w:r>
        <w:continuationSeparator/>
      </w:r>
    </w:p>
  </w:endnote>
  <w:endnote w:type="continuationNotice" w:id="1">
    <w:p w:rsidR="00D41D12" w:rsidRDefault="00D41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10" w:rsidRDefault="00525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12" w:rsidRDefault="00D41D1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12" w:rsidRDefault="00D41D12">
    <w:pPr>
      <w:pStyle w:val="Foote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10" w:rsidRDefault="00525010">
    <w:pPr>
      <w:pStyle w:val="Footer"/>
      <w:jc w:val="center"/>
    </w:pPr>
    <w:r>
      <w:t>-</w:t>
    </w:r>
    <w:sdt>
      <w:sdtPr>
        <w:id w:val="-1444225725"/>
        <w:docPartObj>
          <w:docPartGallery w:val="Page Numbers (Bottom of Page)"/>
          <w:docPartUnique/>
        </w:docPartObj>
      </w:sdtPr>
      <w:sdtContent>
        <w:r>
          <w:fldChar w:fldCharType="begin"/>
        </w:r>
        <w:r>
          <w:instrText xml:space="preserve"> PAGE   \* MERGEFORMAT </w:instrText>
        </w:r>
        <w:r>
          <w:fldChar w:fldCharType="separate"/>
        </w:r>
        <w:r w:rsidR="003E31BF">
          <w:rPr>
            <w:noProof/>
          </w:rPr>
          <w:t>20</w:t>
        </w:r>
        <w:r>
          <w:rPr>
            <w:noProof/>
          </w:rPr>
          <w:fldChar w:fldCharType="end"/>
        </w:r>
        <w:r>
          <w:t>-</w:t>
        </w:r>
      </w:sdtContent>
    </w:sdt>
  </w:p>
  <w:p w:rsidR="00D41D12" w:rsidRDefault="00D41D12" w:rsidP="002021FA">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10" w:rsidRDefault="00525010">
    <w:pPr>
      <w:pStyle w:val="Footer"/>
      <w:jc w:val="center"/>
    </w:pPr>
    <w:r>
      <w:t>-</w:t>
    </w:r>
    <w:sdt>
      <w:sdtPr>
        <w:id w:val="-1693844355"/>
        <w:docPartObj>
          <w:docPartGallery w:val="Page Numbers (Bottom of Page)"/>
          <w:docPartUnique/>
        </w:docPartObj>
      </w:sdtPr>
      <w:sdtContent>
        <w:r>
          <w:fldChar w:fldCharType="begin"/>
        </w:r>
        <w:r>
          <w:instrText xml:space="preserve"> PAGE   \* MERGEFORMAT </w:instrText>
        </w:r>
        <w:r>
          <w:fldChar w:fldCharType="separate"/>
        </w:r>
        <w:r w:rsidR="003E31BF">
          <w:rPr>
            <w:noProof/>
          </w:rPr>
          <w:t>33</w:t>
        </w:r>
        <w:r>
          <w:rPr>
            <w:noProof/>
          </w:rPr>
          <w:fldChar w:fldCharType="end"/>
        </w:r>
        <w:r>
          <w:t>-</w:t>
        </w:r>
      </w:sdtContent>
    </w:sdt>
  </w:p>
  <w:p w:rsidR="00D41D12" w:rsidRPr="00435819" w:rsidRDefault="00D41D12">
    <w:pPr>
      <w:pStyle w:val="Footer"/>
      <w:jc w:val="center"/>
      <w:rPr>
        <w:rStyle w:val="PageNumbe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39133"/>
      <w:docPartObj>
        <w:docPartGallery w:val="Page Numbers (Bottom of Page)"/>
        <w:docPartUnique/>
      </w:docPartObj>
    </w:sdtPr>
    <w:sdtContent>
      <w:p w:rsidR="00525010" w:rsidRDefault="005250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41D12" w:rsidRDefault="00D41D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833646"/>
      <w:docPartObj>
        <w:docPartGallery w:val="Page Numbers (Bottom of Page)"/>
        <w:docPartUnique/>
      </w:docPartObj>
    </w:sdtPr>
    <w:sdtContent>
      <w:p w:rsidR="00525010" w:rsidRDefault="00525010">
        <w:pPr>
          <w:pStyle w:val="Footer"/>
          <w:jc w:val="center"/>
        </w:pPr>
      </w:p>
      <w:bookmarkStart w:id="3" w:name="_GoBack" w:displacedByCustomXml="next"/>
      <w:bookmarkEnd w:id="3" w:displacedByCustomXml="next"/>
    </w:sdtContent>
  </w:sdt>
  <w:p w:rsidR="00525010" w:rsidRDefault="00525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12" w:rsidRDefault="00D41D12">
      <w:r>
        <w:separator/>
      </w:r>
    </w:p>
  </w:footnote>
  <w:footnote w:type="continuationSeparator" w:id="0">
    <w:p w:rsidR="00D41D12" w:rsidRDefault="00D41D12">
      <w:r>
        <w:continuationSeparator/>
      </w:r>
    </w:p>
  </w:footnote>
  <w:footnote w:type="continuationNotice" w:id="1">
    <w:p w:rsidR="00D41D12" w:rsidRDefault="00D41D12">
      <w:pPr>
        <w:spacing w:after="0" w:line="240" w:lineRule="auto"/>
      </w:pPr>
    </w:p>
  </w:footnote>
  <w:footnote w:id="2">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See, for example, </w:t>
      </w:r>
      <w:r w:rsidRPr="00EE26E4">
        <w:rPr>
          <w:rFonts w:ascii="Times New Roman" w:hAnsi="Times New Roman" w:cs="Times New Roman"/>
          <w:i/>
          <w:szCs w:val="18"/>
        </w:rPr>
        <w:t>Lovelace v Canada,</w:t>
      </w:r>
      <w:r w:rsidRPr="00EE26E4">
        <w:rPr>
          <w:rFonts w:ascii="Times New Roman" w:hAnsi="Times New Roman" w:cs="Times New Roman"/>
          <w:szCs w:val="18"/>
        </w:rPr>
        <w:t xml:space="preserve"> Communication No. 24/1977: Canada 30/07/81, UN Doc. CCPR/C/13/D/24/1977</w:t>
      </w:r>
      <w:r>
        <w:rPr>
          <w:rFonts w:ascii="Times New Roman" w:hAnsi="Times New Roman" w:cs="Times New Roman"/>
          <w:szCs w:val="18"/>
        </w:rPr>
        <w:t xml:space="preserve"> [“</w:t>
      </w:r>
      <w:r>
        <w:rPr>
          <w:rFonts w:ascii="Times New Roman" w:hAnsi="Times New Roman" w:cs="Times New Roman"/>
          <w:i/>
          <w:szCs w:val="18"/>
        </w:rPr>
        <w:t>Lovelace</w:t>
      </w:r>
      <w:r>
        <w:rPr>
          <w:rFonts w:ascii="Times New Roman" w:hAnsi="Times New Roman" w:cs="Times New Roman"/>
          <w:szCs w:val="18"/>
        </w:rPr>
        <w:t>”]</w:t>
      </w:r>
      <w:proofErr w:type="gramStart"/>
      <w:r w:rsidRPr="00EE26E4">
        <w:rPr>
          <w:rFonts w:ascii="Times New Roman" w:hAnsi="Times New Roman" w:cs="Times New Roman"/>
          <w:szCs w:val="18"/>
        </w:rPr>
        <w:t xml:space="preserve">; </w:t>
      </w:r>
      <w:r>
        <w:rPr>
          <w:rFonts w:ascii="Times New Roman" w:hAnsi="Times New Roman" w:cs="Times New Roman"/>
          <w:szCs w:val="18"/>
        </w:rPr>
        <w:t xml:space="preserve"> </w:t>
      </w:r>
      <w:r w:rsidRPr="00EE26E4">
        <w:rPr>
          <w:rFonts w:ascii="Times New Roman" w:hAnsi="Times New Roman" w:cs="Times New Roman"/>
          <w:i/>
          <w:szCs w:val="18"/>
        </w:rPr>
        <w:t>McIvor</w:t>
      </w:r>
      <w:proofErr w:type="gramEnd"/>
      <w:r w:rsidRPr="00EE26E4">
        <w:rPr>
          <w:rFonts w:ascii="Times New Roman" w:hAnsi="Times New Roman" w:cs="Times New Roman"/>
          <w:i/>
          <w:szCs w:val="18"/>
        </w:rPr>
        <w:t xml:space="preserve"> v Canada (Registrar of Indian and Northern Affairs),</w:t>
      </w:r>
      <w:r w:rsidRPr="00EE26E4">
        <w:rPr>
          <w:rFonts w:ascii="Times New Roman" w:hAnsi="Times New Roman" w:cs="Times New Roman"/>
          <w:szCs w:val="18"/>
        </w:rPr>
        <w:t xml:space="preserve"> 2009 BCCA 153 [“</w:t>
      </w:r>
      <w:r w:rsidRPr="00EE26E4">
        <w:rPr>
          <w:rFonts w:ascii="Times New Roman" w:hAnsi="Times New Roman" w:cs="Times New Roman"/>
          <w:i/>
          <w:szCs w:val="18"/>
        </w:rPr>
        <w:t>McIvor,</w:t>
      </w:r>
      <w:r w:rsidRPr="00EE26E4">
        <w:rPr>
          <w:rFonts w:ascii="Times New Roman" w:hAnsi="Times New Roman" w:cs="Times New Roman"/>
          <w:szCs w:val="18"/>
        </w:rPr>
        <w:t xml:space="preserve"> BCCA</w:t>
      </w:r>
      <w:r>
        <w:rPr>
          <w:rFonts w:ascii="Times New Roman" w:hAnsi="Times New Roman" w:cs="Times New Roman"/>
          <w:szCs w:val="18"/>
        </w:rPr>
        <w:t xml:space="preserve">”]; </w:t>
      </w:r>
      <w:r w:rsidRPr="00EE26E4">
        <w:rPr>
          <w:rFonts w:ascii="Times New Roman" w:hAnsi="Times New Roman" w:cs="Times New Roman"/>
          <w:i/>
          <w:szCs w:val="18"/>
        </w:rPr>
        <w:t xml:space="preserve">Descheneaux </w:t>
      </w:r>
      <w:r>
        <w:rPr>
          <w:rFonts w:ascii="Times New Roman" w:hAnsi="Times New Roman" w:cs="Times New Roman"/>
          <w:i/>
          <w:szCs w:val="18"/>
        </w:rPr>
        <w:t>v</w:t>
      </w:r>
      <w:r w:rsidRPr="00EE26E4">
        <w:rPr>
          <w:rFonts w:ascii="Times New Roman" w:hAnsi="Times New Roman" w:cs="Times New Roman"/>
          <w:i/>
          <w:szCs w:val="18"/>
        </w:rPr>
        <w:t xml:space="preserve"> Cana</w:t>
      </w:r>
      <w:r>
        <w:rPr>
          <w:rFonts w:ascii="Times New Roman" w:hAnsi="Times New Roman" w:cs="Times New Roman"/>
          <w:i/>
          <w:szCs w:val="18"/>
        </w:rPr>
        <w:t>d</w:t>
      </w:r>
      <w:r w:rsidRPr="00EE26E4">
        <w:rPr>
          <w:rFonts w:ascii="Times New Roman" w:hAnsi="Times New Roman" w:cs="Times New Roman"/>
          <w:i/>
          <w:szCs w:val="18"/>
        </w:rPr>
        <w:t>a (Procureur Général),</w:t>
      </w:r>
      <w:r>
        <w:rPr>
          <w:rFonts w:ascii="Times New Roman" w:hAnsi="Times New Roman" w:cs="Times New Roman"/>
          <w:szCs w:val="18"/>
        </w:rPr>
        <w:t xml:space="preserve"> 2015 QCCS 3555 [</w:t>
      </w:r>
      <w:r>
        <w:rPr>
          <w:rFonts w:ascii="Times New Roman" w:hAnsi="Times New Roman" w:cs="Times New Roman"/>
          <w:i/>
          <w:szCs w:val="18"/>
        </w:rPr>
        <w:t>“</w:t>
      </w:r>
      <w:r w:rsidRPr="00EE26E4">
        <w:rPr>
          <w:rFonts w:ascii="Times New Roman" w:hAnsi="Times New Roman" w:cs="Times New Roman"/>
          <w:i/>
          <w:szCs w:val="18"/>
        </w:rPr>
        <w:t>Descheneaux</w:t>
      </w:r>
      <w:r w:rsidRPr="00EE26E4">
        <w:rPr>
          <w:rFonts w:ascii="Times New Roman" w:hAnsi="Times New Roman" w:cs="Times New Roman"/>
          <w:szCs w:val="18"/>
        </w:rPr>
        <w:t>”].</w:t>
      </w:r>
    </w:p>
  </w:footnote>
  <w:footnote w:id="3">
    <w:p w:rsidR="00D41D12" w:rsidRPr="008907C1" w:rsidRDefault="00D41D12" w:rsidP="00E92226">
      <w:pPr>
        <w:pStyle w:val="FootnoteText"/>
        <w:ind w:left="720" w:hanging="720"/>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Kahkewistahaw First Nation v Taypotat, </w:t>
      </w:r>
      <w:r>
        <w:rPr>
          <w:rFonts w:ascii="Times New Roman" w:hAnsi="Times New Roman" w:cs="Times New Roman"/>
          <w:szCs w:val="18"/>
        </w:rPr>
        <w:t xml:space="preserve">[2015] </w:t>
      </w:r>
      <w:proofErr w:type="gramStart"/>
      <w:r>
        <w:rPr>
          <w:rFonts w:ascii="Times New Roman" w:hAnsi="Times New Roman" w:cs="Times New Roman"/>
          <w:szCs w:val="18"/>
        </w:rPr>
        <w:t>2</w:t>
      </w:r>
      <w:proofErr w:type="gramEnd"/>
      <w:r>
        <w:rPr>
          <w:rFonts w:ascii="Times New Roman" w:hAnsi="Times New Roman" w:cs="Times New Roman"/>
          <w:szCs w:val="18"/>
        </w:rPr>
        <w:t xml:space="preserve"> SCR 548, 2015 SCC 30</w:t>
      </w:r>
      <w:r w:rsidRPr="00EE26E4">
        <w:rPr>
          <w:rFonts w:ascii="Times New Roman" w:hAnsi="Times New Roman" w:cs="Times New Roman"/>
          <w:szCs w:val="18"/>
        </w:rPr>
        <w:t xml:space="preserve"> at para 17</w:t>
      </w:r>
      <w:r>
        <w:rPr>
          <w:rFonts w:ascii="Times New Roman" w:hAnsi="Times New Roman" w:cs="Times New Roman"/>
          <w:szCs w:val="18"/>
        </w:rPr>
        <w:t xml:space="preserve"> [“</w:t>
      </w:r>
      <w:r>
        <w:rPr>
          <w:rFonts w:ascii="Times New Roman" w:hAnsi="Times New Roman" w:cs="Times New Roman"/>
          <w:i/>
          <w:szCs w:val="18"/>
        </w:rPr>
        <w:t>Taypotat</w:t>
      </w:r>
      <w:r>
        <w:rPr>
          <w:rFonts w:ascii="Times New Roman" w:hAnsi="Times New Roman" w:cs="Times New Roman"/>
          <w:szCs w:val="18"/>
        </w:rPr>
        <w:t>”].</w:t>
      </w:r>
    </w:p>
  </w:footnote>
  <w:footnote w:id="4">
    <w:p w:rsidR="00D41D12" w:rsidRPr="00EE26E4" w:rsidRDefault="00D41D12" w:rsidP="00803A80">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Olthuis, Kleer Townshend LLP, </w:t>
      </w:r>
      <w:r w:rsidRPr="00EE26E4">
        <w:rPr>
          <w:rFonts w:ascii="Times New Roman" w:hAnsi="Times New Roman" w:cs="Times New Roman"/>
          <w:i/>
          <w:szCs w:val="18"/>
        </w:rPr>
        <w:t>Aboriginal Law Handbook,</w:t>
      </w:r>
      <w:r w:rsidRPr="00EE26E4">
        <w:rPr>
          <w:rFonts w:ascii="Times New Roman" w:hAnsi="Times New Roman" w:cs="Times New Roman"/>
          <w:szCs w:val="18"/>
        </w:rPr>
        <w:t xml:space="preserve"> 4</w:t>
      </w:r>
      <w:r w:rsidRPr="00EE26E4">
        <w:rPr>
          <w:rFonts w:ascii="Times New Roman" w:hAnsi="Times New Roman" w:cs="Times New Roman"/>
          <w:szCs w:val="18"/>
          <w:vertAlign w:val="superscript"/>
        </w:rPr>
        <w:t>th</w:t>
      </w:r>
      <w:r w:rsidRPr="00EE26E4">
        <w:rPr>
          <w:rFonts w:ascii="Times New Roman" w:hAnsi="Times New Roman" w:cs="Times New Roman"/>
          <w:szCs w:val="18"/>
        </w:rPr>
        <w:t xml:space="preserve"> </w:t>
      </w:r>
      <w:proofErr w:type="gramStart"/>
      <w:r w:rsidRPr="00EE26E4">
        <w:rPr>
          <w:rFonts w:ascii="Times New Roman" w:hAnsi="Times New Roman" w:cs="Times New Roman"/>
          <w:szCs w:val="18"/>
        </w:rPr>
        <w:t>ed</w:t>
      </w:r>
      <w:proofErr w:type="gramEnd"/>
      <w:r w:rsidRPr="00EE26E4">
        <w:rPr>
          <w:rFonts w:ascii="Times New Roman" w:hAnsi="Times New Roman" w:cs="Times New Roman"/>
          <w:szCs w:val="18"/>
        </w:rPr>
        <w:t xml:space="preserve"> (Toronto: Carswell, 2011) at 247-248; </w:t>
      </w:r>
      <w:r w:rsidRPr="00EE26E4">
        <w:rPr>
          <w:rFonts w:ascii="Times New Roman" w:hAnsi="Times New Roman" w:cs="Times New Roman"/>
          <w:i/>
          <w:szCs w:val="18"/>
        </w:rPr>
        <w:t xml:space="preserve">McIvor, </w:t>
      </w:r>
      <w:r w:rsidRPr="00EE26E4">
        <w:rPr>
          <w:rFonts w:ascii="Times New Roman" w:hAnsi="Times New Roman" w:cs="Times New Roman"/>
          <w:szCs w:val="18"/>
        </w:rPr>
        <w:t xml:space="preserve">BCCA, </w:t>
      </w:r>
      <w:r w:rsidRPr="00EE26E4">
        <w:rPr>
          <w:rFonts w:ascii="Times New Roman" w:hAnsi="Times New Roman" w:cs="Times New Roman"/>
          <w:i/>
          <w:szCs w:val="18"/>
        </w:rPr>
        <w:t xml:space="preserve">supra </w:t>
      </w:r>
      <w:r w:rsidRPr="00EE26E4">
        <w:rPr>
          <w:rFonts w:ascii="Times New Roman" w:hAnsi="Times New Roman" w:cs="Times New Roman"/>
          <w:szCs w:val="18"/>
        </w:rPr>
        <w:t>note 1 at para 70.</w:t>
      </w:r>
    </w:p>
  </w:footnote>
  <w:footnote w:id="5">
    <w:p w:rsidR="00D41D12" w:rsidRPr="00EE26E4" w:rsidRDefault="00D41D12" w:rsidP="00803A80">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McIvor v The Registrar, Indian and Northern Affairs Canada </w:t>
      </w:r>
      <w:r w:rsidRPr="00EE26E4">
        <w:rPr>
          <w:rFonts w:ascii="Times New Roman" w:hAnsi="Times New Roman" w:cs="Times New Roman"/>
          <w:szCs w:val="18"/>
        </w:rPr>
        <w:t>2007 BCSC 827 at para 143</w:t>
      </w:r>
      <w:r>
        <w:rPr>
          <w:rFonts w:ascii="Times New Roman" w:hAnsi="Times New Roman" w:cs="Times New Roman"/>
          <w:szCs w:val="18"/>
        </w:rPr>
        <w:t xml:space="preserve"> [“</w:t>
      </w:r>
      <w:r>
        <w:rPr>
          <w:rFonts w:ascii="Times New Roman" w:hAnsi="Times New Roman" w:cs="Times New Roman"/>
          <w:i/>
          <w:szCs w:val="18"/>
        </w:rPr>
        <w:t>McIvor,</w:t>
      </w:r>
      <w:r>
        <w:rPr>
          <w:rFonts w:ascii="Times New Roman" w:hAnsi="Times New Roman" w:cs="Times New Roman"/>
          <w:szCs w:val="18"/>
        </w:rPr>
        <w:t xml:space="preserve"> BCSC”]</w:t>
      </w:r>
      <w:r w:rsidRPr="00EE26E4">
        <w:rPr>
          <w:rFonts w:ascii="Times New Roman" w:hAnsi="Times New Roman" w:cs="Times New Roman"/>
          <w:szCs w:val="18"/>
        </w:rPr>
        <w:t xml:space="preserve">, affirmed by the British Columbia Court of Appeal in </w:t>
      </w:r>
      <w:r w:rsidRPr="00EE26E4">
        <w:rPr>
          <w:rFonts w:ascii="Times New Roman" w:hAnsi="Times New Roman" w:cs="Times New Roman"/>
          <w:i/>
          <w:szCs w:val="18"/>
        </w:rPr>
        <w:t xml:space="preserve">McIvor, </w:t>
      </w:r>
      <w:r w:rsidRPr="00EE26E4">
        <w:rPr>
          <w:rFonts w:ascii="Times New Roman" w:hAnsi="Times New Roman" w:cs="Times New Roman"/>
          <w:szCs w:val="18"/>
        </w:rPr>
        <w:t xml:space="preserve">BCCA </w:t>
      </w:r>
      <w:r w:rsidRPr="00EE26E4">
        <w:rPr>
          <w:rFonts w:ascii="Times New Roman" w:hAnsi="Times New Roman" w:cs="Times New Roman"/>
          <w:i/>
          <w:szCs w:val="18"/>
        </w:rPr>
        <w:t xml:space="preserve">supra </w:t>
      </w:r>
      <w:r w:rsidRPr="00EE26E4">
        <w:rPr>
          <w:rFonts w:ascii="Times New Roman" w:hAnsi="Times New Roman" w:cs="Times New Roman"/>
          <w:szCs w:val="18"/>
        </w:rPr>
        <w:t xml:space="preserve">note </w:t>
      </w:r>
      <w:proofErr w:type="gramStart"/>
      <w:r w:rsidRPr="00EE26E4">
        <w:rPr>
          <w:rFonts w:ascii="Times New Roman" w:hAnsi="Times New Roman" w:cs="Times New Roman"/>
          <w:szCs w:val="18"/>
        </w:rPr>
        <w:t>1</w:t>
      </w:r>
      <w:proofErr w:type="gramEnd"/>
      <w:r w:rsidRPr="00EE26E4">
        <w:rPr>
          <w:rFonts w:ascii="Times New Roman" w:hAnsi="Times New Roman" w:cs="Times New Roman"/>
          <w:szCs w:val="18"/>
        </w:rPr>
        <w:t xml:space="preserve"> at para 70. </w:t>
      </w:r>
    </w:p>
  </w:footnote>
  <w:footnote w:id="6">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Section 10 of the </w:t>
      </w:r>
      <w:r w:rsidRPr="00957617">
        <w:rPr>
          <w:rFonts w:ascii="Times New Roman" w:hAnsi="Times New Roman" w:cs="Times New Roman"/>
          <w:i/>
          <w:szCs w:val="18"/>
        </w:rPr>
        <w:t>Indian Act</w:t>
      </w:r>
      <w:r w:rsidRPr="00EE26E4">
        <w:rPr>
          <w:rFonts w:ascii="Times New Roman" w:hAnsi="Times New Roman" w:cs="Times New Roman"/>
          <w:szCs w:val="18"/>
        </w:rPr>
        <w:t xml:space="preserve"> sets out a procedure by which First Nations can assume control of their own m</w:t>
      </w:r>
      <w:r>
        <w:rPr>
          <w:rFonts w:ascii="Times New Roman" w:hAnsi="Times New Roman" w:cs="Times New Roman"/>
          <w:szCs w:val="18"/>
        </w:rPr>
        <w:t xml:space="preserve">embership. </w:t>
      </w:r>
      <w:r w:rsidRPr="00EE26E4">
        <w:rPr>
          <w:rFonts w:ascii="Times New Roman" w:hAnsi="Times New Roman" w:cs="Times New Roman"/>
          <w:szCs w:val="18"/>
        </w:rPr>
        <w:t>Section 11 provides for the management of a band list by the Department of Indigenous A</w:t>
      </w:r>
      <w:r>
        <w:rPr>
          <w:rFonts w:ascii="Times New Roman" w:hAnsi="Times New Roman" w:cs="Times New Roman"/>
          <w:szCs w:val="18"/>
        </w:rPr>
        <w:t xml:space="preserve">ffairs and Northern Development where a First Nation has not assumed control of its own membership. </w:t>
      </w:r>
      <w:r w:rsidRPr="00EE26E4">
        <w:rPr>
          <w:rFonts w:ascii="Times New Roman" w:hAnsi="Times New Roman" w:cs="Times New Roman"/>
          <w:szCs w:val="18"/>
        </w:rPr>
        <w:t xml:space="preserve"> </w:t>
      </w:r>
      <w:r>
        <w:rPr>
          <w:rFonts w:ascii="Times New Roman" w:hAnsi="Times New Roman" w:cs="Times New Roman"/>
          <w:szCs w:val="18"/>
        </w:rPr>
        <w:t>The procedures and processes for management of a First Nations membership list by the Department</w:t>
      </w:r>
      <w:r w:rsidRPr="00EE26E4">
        <w:rPr>
          <w:rFonts w:ascii="Times New Roman" w:hAnsi="Times New Roman" w:cs="Times New Roman"/>
          <w:szCs w:val="18"/>
        </w:rPr>
        <w:t xml:space="preserve"> </w:t>
      </w:r>
      <w:proofErr w:type="gramStart"/>
      <w:r w:rsidRPr="00EE26E4">
        <w:rPr>
          <w:rFonts w:ascii="Times New Roman" w:hAnsi="Times New Roman" w:cs="Times New Roman"/>
          <w:szCs w:val="18"/>
        </w:rPr>
        <w:t>are explicitly tie</w:t>
      </w:r>
      <w:r>
        <w:rPr>
          <w:rFonts w:ascii="Times New Roman" w:hAnsi="Times New Roman" w:cs="Times New Roman"/>
          <w:szCs w:val="18"/>
        </w:rPr>
        <w:t>d</w:t>
      </w:r>
      <w:proofErr w:type="gramEnd"/>
      <w:r>
        <w:rPr>
          <w:rFonts w:ascii="Times New Roman" w:hAnsi="Times New Roman" w:cs="Times New Roman"/>
          <w:szCs w:val="18"/>
        </w:rPr>
        <w:t xml:space="preserve"> to the status provisions in s</w:t>
      </w:r>
      <w:r w:rsidRPr="00EE26E4">
        <w:rPr>
          <w:rFonts w:ascii="Times New Roman" w:hAnsi="Times New Roman" w:cs="Times New Roman"/>
          <w:szCs w:val="18"/>
        </w:rPr>
        <w:t xml:space="preserve"> 6.   </w:t>
      </w:r>
    </w:p>
  </w:footnote>
  <w:footnote w:id="7">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McIvor</w:t>
      </w:r>
      <w:r w:rsidRPr="00EE26E4">
        <w:rPr>
          <w:rFonts w:ascii="Times New Roman" w:hAnsi="Times New Roman" w:cs="Times New Roman"/>
          <w:szCs w:val="18"/>
        </w:rPr>
        <w:t xml:space="preserve">, BCCA, </w:t>
      </w:r>
      <w:r w:rsidRPr="00EE26E4">
        <w:rPr>
          <w:rFonts w:ascii="Times New Roman" w:hAnsi="Times New Roman" w:cs="Times New Roman"/>
          <w:i/>
          <w:szCs w:val="18"/>
        </w:rPr>
        <w:t xml:space="preserve">supra </w:t>
      </w:r>
      <w:r w:rsidRPr="00EE26E4">
        <w:rPr>
          <w:rFonts w:ascii="Times New Roman" w:hAnsi="Times New Roman" w:cs="Times New Roman"/>
          <w:szCs w:val="18"/>
        </w:rPr>
        <w:t xml:space="preserve">note </w:t>
      </w:r>
      <w:proofErr w:type="gramStart"/>
      <w:r>
        <w:rPr>
          <w:rFonts w:ascii="Times New Roman" w:hAnsi="Times New Roman" w:cs="Times New Roman"/>
          <w:szCs w:val="18"/>
        </w:rPr>
        <w:t>1</w:t>
      </w:r>
      <w:proofErr w:type="gramEnd"/>
      <w:r>
        <w:rPr>
          <w:rFonts w:ascii="Times New Roman" w:hAnsi="Times New Roman" w:cs="Times New Roman"/>
          <w:szCs w:val="18"/>
        </w:rPr>
        <w:t xml:space="preserve"> at para 71.</w:t>
      </w:r>
    </w:p>
  </w:footnote>
  <w:footnote w:id="8">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Lovelace, supra </w:t>
      </w:r>
      <w:r>
        <w:rPr>
          <w:rFonts w:ascii="Times New Roman" w:hAnsi="Times New Roman" w:cs="Times New Roman"/>
          <w:szCs w:val="18"/>
        </w:rPr>
        <w:t xml:space="preserve">note </w:t>
      </w:r>
      <w:proofErr w:type="gramStart"/>
      <w:r>
        <w:rPr>
          <w:rFonts w:ascii="Times New Roman" w:hAnsi="Times New Roman" w:cs="Times New Roman"/>
          <w:szCs w:val="18"/>
        </w:rPr>
        <w:t>1</w:t>
      </w:r>
      <w:proofErr w:type="gramEnd"/>
      <w:r>
        <w:rPr>
          <w:rFonts w:ascii="Times New Roman" w:hAnsi="Times New Roman" w:cs="Times New Roman"/>
          <w:szCs w:val="18"/>
        </w:rPr>
        <w:t xml:space="preserve">; </w:t>
      </w:r>
      <w:r w:rsidRPr="00EE26E4">
        <w:rPr>
          <w:rFonts w:ascii="Times New Roman" w:hAnsi="Times New Roman" w:cs="Times New Roman"/>
          <w:i/>
          <w:szCs w:val="18"/>
        </w:rPr>
        <w:t>McIvor</w:t>
      </w:r>
      <w:r w:rsidRPr="00EE26E4">
        <w:rPr>
          <w:rFonts w:ascii="Times New Roman" w:hAnsi="Times New Roman" w:cs="Times New Roman"/>
          <w:szCs w:val="18"/>
        </w:rPr>
        <w:t xml:space="preserve">, BCCA, </w:t>
      </w:r>
      <w:r w:rsidRPr="00EE26E4">
        <w:rPr>
          <w:rFonts w:ascii="Times New Roman" w:hAnsi="Times New Roman" w:cs="Times New Roman"/>
          <w:i/>
          <w:szCs w:val="18"/>
        </w:rPr>
        <w:t xml:space="preserve">supra </w:t>
      </w:r>
      <w:r w:rsidRPr="00EE26E4">
        <w:rPr>
          <w:rFonts w:ascii="Times New Roman" w:hAnsi="Times New Roman" w:cs="Times New Roman"/>
          <w:szCs w:val="18"/>
        </w:rPr>
        <w:t xml:space="preserve">note </w:t>
      </w:r>
      <w:r>
        <w:rPr>
          <w:rFonts w:ascii="Times New Roman" w:hAnsi="Times New Roman" w:cs="Times New Roman"/>
          <w:szCs w:val="18"/>
        </w:rPr>
        <w:t xml:space="preserve">1; </w:t>
      </w:r>
      <w:r w:rsidRPr="00EE26E4">
        <w:rPr>
          <w:rFonts w:ascii="Times New Roman" w:hAnsi="Times New Roman" w:cs="Times New Roman"/>
          <w:i/>
          <w:szCs w:val="18"/>
        </w:rPr>
        <w:t>Descheneaux</w:t>
      </w:r>
      <w:r>
        <w:rPr>
          <w:rFonts w:ascii="Times New Roman" w:hAnsi="Times New Roman" w:cs="Times New Roman"/>
          <w:szCs w:val="18"/>
        </w:rPr>
        <w:t xml:space="preserve">, </w:t>
      </w:r>
      <w:r>
        <w:rPr>
          <w:rFonts w:ascii="Times New Roman" w:hAnsi="Times New Roman" w:cs="Times New Roman"/>
          <w:i/>
          <w:szCs w:val="18"/>
        </w:rPr>
        <w:t>supra</w:t>
      </w:r>
      <w:r>
        <w:rPr>
          <w:rFonts w:ascii="Times New Roman" w:hAnsi="Times New Roman" w:cs="Times New Roman"/>
          <w:szCs w:val="18"/>
        </w:rPr>
        <w:t xml:space="preserve"> note 1.</w:t>
      </w:r>
    </w:p>
  </w:footnote>
  <w:footnote w:id="9">
    <w:p w:rsidR="00D41D12" w:rsidRPr="00EE26E4" w:rsidRDefault="00D41D12" w:rsidP="008907C1">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An Act for the gradual enfranchisement of Indians, the better management of Indian affairs, and to extend the provisions of the Act 31</w:t>
      </w:r>
      <w:r w:rsidRPr="00EE26E4">
        <w:rPr>
          <w:rFonts w:ascii="Times New Roman" w:hAnsi="Times New Roman" w:cs="Times New Roman"/>
          <w:i/>
          <w:szCs w:val="18"/>
          <w:vertAlign w:val="superscript"/>
        </w:rPr>
        <w:t>st</w:t>
      </w:r>
      <w:r w:rsidRPr="00EE26E4">
        <w:rPr>
          <w:rFonts w:ascii="Times New Roman" w:hAnsi="Times New Roman" w:cs="Times New Roman"/>
          <w:i/>
          <w:szCs w:val="18"/>
        </w:rPr>
        <w:t xml:space="preserve"> Victoria</w:t>
      </w:r>
      <w:r>
        <w:rPr>
          <w:rFonts w:ascii="Times New Roman" w:hAnsi="Times New Roman" w:cs="Times New Roman"/>
          <w:szCs w:val="18"/>
        </w:rPr>
        <w:t>, c 42, SC 1869, c6,</w:t>
      </w:r>
      <w:r w:rsidRPr="00EE26E4">
        <w:rPr>
          <w:rFonts w:ascii="Times New Roman" w:hAnsi="Times New Roman" w:cs="Times New Roman"/>
          <w:szCs w:val="18"/>
        </w:rPr>
        <w:t xml:space="preserve"> s 15</w:t>
      </w:r>
      <w:r>
        <w:rPr>
          <w:rFonts w:ascii="Times New Roman" w:hAnsi="Times New Roman" w:cs="Times New Roman"/>
          <w:szCs w:val="18"/>
        </w:rPr>
        <w:t>.</w:t>
      </w:r>
    </w:p>
  </w:footnote>
  <w:footnote w:id="10">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proofErr w:type="gramStart"/>
      <w:r w:rsidRPr="00EE26E4">
        <w:rPr>
          <w:rFonts w:ascii="Times New Roman" w:hAnsi="Times New Roman" w:cs="Times New Roman"/>
          <w:i/>
          <w:szCs w:val="18"/>
        </w:rPr>
        <w:t xml:space="preserve">Indian Act, </w:t>
      </w:r>
      <w:r>
        <w:rPr>
          <w:rFonts w:ascii="Times New Roman" w:hAnsi="Times New Roman" w:cs="Times New Roman"/>
          <w:szCs w:val="18"/>
        </w:rPr>
        <w:t>SC</w:t>
      </w:r>
      <w:r w:rsidRPr="00EE26E4">
        <w:rPr>
          <w:rFonts w:ascii="Times New Roman" w:hAnsi="Times New Roman" w:cs="Times New Roman"/>
          <w:szCs w:val="18"/>
        </w:rPr>
        <w:t xml:space="preserve"> 1876, c 18</w:t>
      </w:r>
      <w:r>
        <w:rPr>
          <w:rFonts w:ascii="Times New Roman" w:hAnsi="Times New Roman" w:cs="Times New Roman"/>
          <w:szCs w:val="18"/>
        </w:rPr>
        <w:t>,</w:t>
      </w:r>
      <w:r w:rsidRPr="00EE26E4">
        <w:rPr>
          <w:rFonts w:ascii="Times New Roman" w:hAnsi="Times New Roman" w:cs="Times New Roman"/>
          <w:szCs w:val="18"/>
        </w:rPr>
        <w:t xml:space="preserve"> s</w:t>
      </w:r>
      <w:r>
        <w:rPr>
          <w:rFonts w:ascii="Times New Roman" w:hAnsi="Times New Roman" w:cs="Times New Roman"/>
          <w:szCs w:val="18"/>
        </w:rPr>
        <w:t xml:space="preserve"> </w:t>
      </w:r>
      <w:r w:rsidRPr="00EE26E4">
        <w:rPr>
          <w:rFonts w:ascii="Times New Roman" w:hAnsi="Times New Roman" w:cs="Times New Roman"/>
          <w:szCs w:val="18"/>
        </w:rPr>
        <w:t>3</w:t>
      </w:r>
      <w:r>
        <w:rPr>
          <w:rFonts w:ascii="Times New Roman" w:hAnsi="Times New Roman" w:cs="Times New Roman"/>
          <w:szCs w:val="18"/>
        </w:rPr>
        <w:t>.</w:t>
      </w:r>
      <w:proofErr w:type="gramEnd"/>
    </w:p>
  </w:footnote>
  <w:footnote w:id="11">
    <w:p w:rsidR="00D41D12" w:rsidRPr="000711C6" w:rsidRDefault="00D41D12" w:rsidP="00AB38D5">
      <w:pPr>
        <w:pStyle w:val="FootnoteText"/>
        <w:jc w:val="both"/>
        <w:rPr>
          <w:szCs w:val="18"/>
        </w:rPr>
      </w:pPr>
      <w:r w:rsidRPr="000711C6">
        <w:rPr>
          <w:rStyle w:val="FootnoteReference"/>
          <w:rFonts w:ascii="Times New Roman" w:hAnsi="Times New Roman" w:cs="Times New Roman"/>
          <w:szCs w:val="18"/>
        </w:rPr>
        <w:footnoteRef/>
      </w:r>
      <w:r w:rsidRPr="000711C6">
        <w:rPr>
          <w:rFonts w:ascii="Times New Roman" w:hAnsi="Times New Roman" w:cs="Times New Roman"/>
          <w:szCs w:val="18"/>
        </w:rPr>
        <w:t xml:space="preserve"> The only restriction on the ability of Registered Indian men to pass on their status to their children was the “Double Mo</w:t>
      </w:r>
      <w:r>
        <w:rPr>
          <w:rFonts w:ascii="Times New Roman" w:hAnsi="Times New Roman" w:cs="Times New Roman"/>
          <w:szCs w:val="18"/>
        </w:rPr>
        <w:t>ther rule”, instituted in 1951.</w:t>
      </w:r>
      <w:r w:rsidRPr="000711C6">
        <w:rPr>
          <w:rFonts w:ascii="Times New Roman" w:hAnsi="Times New Roman" w:cs="Times New Roman"/>
          <w:szCs w:val="18"/>
        </w:rPr>
        <w:t xml:space="preserve"> Under the Double Mother rule, a child would lose their Indian status at age 21 if they had 1) an Indian father whose mother gained status through marriage, and 2) a mother who had gained status through marriage. Exceptions to the Double Mother rule </w:t>
      </w:r>
      <w:proofErr w:type="gramStart"/>
      <w:r w:rsidRPr="000711C6">
        <w:rPr>
          <w:rFonts w:ascii="Times New Roman" w:hAnsi="Times New Roman" w:cs="Times New Roman"/>
          <w:szCs w:val="18"/>
        </w:rPr>
        <w:t>were readily and widely granted</w:t>
      </w:r>
      <w:proofErr w:type="gramEnd"/>
      <w:r w:rsidRPr="000711C6">
        <w:rPr>
          <w:rFonts w:ascii="Times New Roman" w:hAnsi="Times New Roman" w:cs="Times New Roman"/>
          <w:szCs w:val="18"/>
        </w:rPr>
        <w:t xml:space="preserve">. </w:t>
      </w:r>
      <w:r w:rsidRPr="000711C6">
        <w:rPr>
          <w:rFonts w:ascii="Times New Roman" w:hAnsi="Times New Roman" w:cs="Times New Roman"/>
          <w:i/>
          <w:szCs w:val="18"/>
        </w:rPr>
        <w:t>Descheneaux</w:t>
      </w:r>
      <w:r w:rsidRPr="000711C6">
        <w:rPr>
          <w:rFonts w:ascii="Times New Roman" w:hAnsi="Times New Roman" w:cs="Times New Roman"/>
          <w:szCs w:val="18"/>
        </w:rPr>
        <w:t xml:space="preserve">, </w:t>
      </w:r>
      <w:r w:rsidRPr="000711C6">
        <w:rPr>
          <w:rFonts w:ascii="Times New Roman" w:hAnsi="Times New Roman" w:cs="Times New Roman"/>
          <w:i/>
          <w:szCs w:val="18"/>
        </w:rPr>
        <w:t>supra</w:t>
      </w:r>
      <w:r w:rsidRPr="000711C6">
        <w:rPr>
          <w:rFonts w:ascii="Times New Roman" w:hAnsi="Times New Roman" w:cs="Times New Roman"/>
          <w:szCs w:val="18"/>
        </w:rPr>
        <w:t xml:space="preserve"> note </w:t>
      </w:r>
      <w:proofErr w:type="gramStart"/>
      <w:r w:rsidRPr="000711C6">
        <w:rPr>
          <w:rFonts w:ascii="Times New Roman" w:hAnsi="Times New Roman" w:cs="Times New Roman"/>
          <w:szCs w:val="18"/>
        </w:rPr>
        <w:t>1</w:t>
      </w:r>
      <w:proofErr w:type="gramEnd"/>
      <w:r w:rsidRPr="000711C6">
        <w:rPr>
          <w:rFonts w:ascii="Times New Roman" w:hAnsi="Times New Roman" w:cs="Times New Roman"/>
          <w:szCs w:val="18"/>
        </w:rPr>
        <w:t xml:space="preserve"> at para</w:t>
      </w:r>
      <w:r>
        <w:rPr>
          <w:rFonts w:ascii="Times New Roman" w:hAnsi="Times New Roman" w:cs="Times New Roman"/>
          <w:szCs w:val="18"/>
        </w:rPr>
        <w:t>s</w:t>
      </w:r>
      <w:r w:rsidRPr="000711C6">
        <w:rPr>
          <w:rFonts w:ascii="Times New Roman" w:hAnsi="Times New Roman" w:cs="Times New Roman"/>
          <w:szCs w:val="18"/>
        </w:rPr>
        <w:t xml:space="preserve"> 20, 27.</w:t>
      </w:r>
    </w:p>
  </w:footnote>
  <w:footnote w:id="12">
    <w:p w:rsidR="00D41D12" w:rsidRPr="00EE26E4" w:rsidRDefault="00D41D12">
      <w:pPr>
        <w:pStyle w:val="FootnoteText"/>
        <w:rPr>
          <w:rFonts w:ascii="Times New Roman" w:hAnsi="Times New Roman" w:cs="Times New Roman"/>
          <w:szCs w:val="18"/>
        </w:rPr>
      </w:pPr>
      <w:r w:rsidRPr="000711C6">
        <w:rPr>
          <w:rStyle w:val="FootnoteReference"/>
          <w:rFonts w:ascii="Times New Roman" w:hAnsi="Times New Roman" w:cs="Times New Roman"/>
          <w:szCs w:val="18"/>
        </w:rPr>
        <w:footnoteRef/>
      </w:r>
      <w:r w:rsidRPr="000711C6">
        <w:rPr>
          <w:rFonts w:ascii="Times New Roman" w:hAnsi="Times New Roman" w:cs="Times New Roman"/>
          <w:szCs w:val="18"/>
        </w:rPr>
        <w:t xml:space="preserve"> </w:t>
      </w:r>
      <w:proofErr w:type="gramStart"/>
      <w:r w:rsidRPr="000711C6">
        <w:rPr>
          <w:rFonts w:ascii="Times New Roman" w:hAnsi="Times New Roman" w:cs="Times New Roman"/>
          <w:i/>
          <w:szCs w:val="18"/>
        </w:rPr>
        <w:t xml:space="preserve">Indian Act, </w:t>
      </w:r>
      <w:r>
        <w:rPr>
          <w:rFonts w:ascii="Times New Roman" w:hAnsi="Times New Roman" w:cs="Times New Roman"/>
          <w:szCs w:val="18"/>
        </w:rPr>
        <w:t xml:space="preserve">SC </w:t>
      </w:r>
      <w:r w:rsidRPr="000711C6">
        <w:rPr>
          <w:rFonts w:ascii="Times New Roman" w:hAnsi="Times New Roman" w:cs="Times New Roman"/>
          <w:szCs w:val="18"/>
        </w:rPr>
        <w:t>187</w:t>
      </w:r>
      <w:r>
        <w:rPr>
          <w:rFonts w:ascii="Times New Roman" w:hAnsi="Times New Roman" w:cs="Times New Roman"/>
          <w:szCs w:val="18"/>
        </w:rPr>
        <w:t>6, c 18, s 3.</w:t>
      </w:r>
      <w:proofErr w:type="gramEnd"/>
    </w:p>
  </w:footnote>
  <w:footnote w:id="13">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proofErr w:type="gramStart"/>
      <w:r w:rsidRPr="00EE26E4">
        <w:rPr>
          <w:rFonts w:ascii="Times New Roman" w:hAnsi="Times New Roman" w:cs="Times New Roman"/>
          <w:i/>
          <w:szCs w:val="18"/>
        </w:rPr>
        <w:t>Indian Act,</w:t>
      </w:r>
      <w:r>
        <w:rPr>
          <w:rFonts w:ascii="Times New Roman" w:hAnsi="Times New Roman" w:cs="Times New Roman"/>
          <w:szCs w:val="18"/>
        </w:rPr>
        <w:t xml:space="preserve"> RS 1880, </w:t>
      </w:r>
      <w:r w:rsidRPr="00EE26E4">
        <w:rPr>
          <w:rFonts w:ascii="Times New Roman" w:hAnsi="Times New Roman" w:cs="Times New Roman"/>
          <w:szCs w:val="18"/>
        </w:rPr>
        <w:t>c</w:t>
      </w:r>
      <w:r>
        <w:rPr>
          <w:rFonts w:ascii="Times New Roman" w:hAnsi="Times New Roman" w:cs="Times New Roman"/>
          <w:szCs w:val="18"/>
        </w:rPr>
        <w:t xml:space="preserve"> 28</w:t>
      </w:r>
      <w:r w:rsidRPr="00EE26E4">
        <w:rPr>
          <w:rFonts w:ascii="Times New Roman" w:hAnsi="Times New Roman" w:cs="Times New Roman"/>
          <w:szCs w:val="18"/>
        </w:rPr>
        <w:t xml:space="preserve"> (43 Vict), s 10</w:t>
      </w:r>
      <w:r>
        <w:rPr>
          <w:rFonts w:ascii="Times New Roman" w:hAnsi="Times New Roman" w:cs="Times New Roman"/>
          <w:szCs w:val="18"/>
        </w:rPr>
        <w:t>.</w:t>
      </w:r>
      <w:proofErr w:type="gramEnd"/>
    </w:p>
  </w:footnote>
  <w:footnote w:id="14">
    <w:p w:rsidR="00D41D12" w:rsidRPr="00EE26E4" w:rsidRDefault="00D41D12" w:rsidP="008E6756">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Indian Act, </w:t>
      </w:r>
      <w:r>
        <w:rPr>
          <w:rFonts w:ascii="Times New Roman" w:hAnsi="Times New Roman" w:cs="Times New Roman"/>
          <w:szCs w:val="18"/>
        </w:rPr>
        <w:t xml:space="preserve">SC 1951 c 29 (15 Geo </w:t>
      </w:r>
      <w:proofErr w:type="gramStart"/>
      <w:r>
        <w:rPr>
          <w:rFonts w:ascii="Times New Roman" w:hAnsi="Times New Roman" w:cs="Times New Roman"/>
          <w:szCs w:val="18"/>
        </w:rPr>
        <w:t>Vi</w:t>
      </w:r>
      <w:proofErr w:type="gramEnd"/>
      <w:r>
        <w:rPr>
          <w:rFonts w:ascii="Times New Roman" w:hAnsi="Times New Roman" w:cs="Times New Roman"/>
          <w:szCs w:val="18"/>
        </w:rPr>
        <w:t>), s 11.</w:t>
      </w:r>
    </w:p>
  </w:footnote>
  <w:footnote w:id="15">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McIvor, </w:t>
      </w:r>
      <w:r w:rsidRPr="00EE26E4">
        <w:rPr>
          <w:rFonts w:ascii="Times New Roman" w:hAnsi="Times New Roman" w:cs="Times New Roman"/>
          <w:szCs w:val="18"/>
        </w:rPr>
        <w:t>BCCA,</w:t>
      </w:r>
      <w:r w:rsidRPr="00EE26E4">
        <w:rPr>
          <w:rFonts w:ascii="Times New Roman" w:hAnsi="Times New Roman" w:cs="Times New Roman"/>
          <w:i/>
          <w:szCs w:val="18"/>
        </w:rPr>
        <w:t xml:space="preserve"> supra, </w:t>
      </w:r>
      <w:r w:rsidRPr="00EE26E4">
        <w:rPr>
          <w:rFonts w:ascii="Times New Roman" w:hAnsi="Times New Roman" w:cs="Times New Roman"/>
          <w:szCs w:val="18"/>
        </w:rPr>
        <w:t xml:space="preserve">note </w:t>
      </w:r>
      <w:proofErr w:type="gramStart"/>
      <w:r w:rsidRPr="00EE26E4">
        <w:rPr>
          <w:rFonts w:ascii="Times New Roman" w:hAnsi="Times New Roman" w:cs="Times New Roman"/>
          <w:szCs w:val="18"/>
        </w:rPr>
        <w:t>1</w:t>
      </w:r>
      <w:proofErr w:type="gramEnd"/>
      <w:r w:rsidRPr="00EE26E4">
        <w:rPr>
          <w:rFonts w:ascii="Times New Roman" w:hAnsi="Times New Roman" w:cs="Times New Roman"/>
          <w:szCs w:val="18"/>
        </w:rPr>
        <w:t xml:space="preserve"> at para 10.</w:t>
      </w:r>
    </w:p>
  </w:footnote>
  <w:footnote w:id="16">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Indian Act, </w:t>
      </w:r>
      <w:r>
        <w:rPr>
          <w:rFonts w:ascii="Times New Roman" w:hAnsi="Times New Roman" w:cs="Times New Roman"/>
          <w:szCs w:val="18"/>
        </w:rPr>
        <w:t xml:space="preserve">RSC 1985 c I-5, s </w:t>
      </w:r>
      <w:r w:rsidRPr="00EE26E4">
        <w:rPr>
          <w:rFonts w:ascii="Times New Roman" w:hAnsi="Times New Roman" w:cs="Times New Roman"/>
          <w:szCs w:val="18"/>
        </w:rPr>
        <w:t>6(1)</w:t>
      </w:r>
      <w:r>
        <w:rPr>
          <w:rFonts w:ascii="Times New Roman" w:hAnsi="Times New Roman" w:cs="Times New Roman"/>
          <w:szCs w:val="18"/>
        </w:rPr>
        <w:t xml:space="preserve">.  </w:t>
      </w:r>
    </w:p>
  </w:footnote>
  <w:footnote w:id="17">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7101E">
        <w:rPr>
          <w:rFonts w:ascii="Times New Roman" w:hAnsi="Times New Roman" w:cs="Times New Roman"/>
          <w:szCs w:val="18"/>
        </w:rPr>
        <w:t xml:space="preserve">Status of Women Canada, </w:t>
      </w:r>
      <w:r w:rsidRPr="007E0DA3">
        <w:rPr>
          <w:rFonts w:ascii="Times New Roman" w:hAnsi="Times New Roman" w:cs="Times New Roman"/>
          <w:i/>
          <w:szCs w:val="18"/>
        </w:rPr>
        <w:t xml:space="preserve">Indian Registration: Unrecognized and Unstated Paternity, </w:t>
      </w:r>
      <w:r w:rsidRPr="00DF1649">
        <w:rPr>
          <w:rFonts w:ascii="Times New Roman" w:hAnsi="Times New Roman" w:cs="Times New Roman"/>
          <w:szCs w:val="18"/>
        </w:rPr>
        <w:t>by Michelle Mann</w:t>
      </w:r>
      <w:r w:rsidRPr="00E7101E">
        <w:rPr>
          <w:rFonts w:ascii="Times New Roman" w:hAnsi="Times New Roman" w:cs="Times New Roman"/>
          <w:szCs w:val="18"/>
        </w:rPr>
        <w:t xml:space="preserve"> (Ottawa: Status of Women Canada, June</w:t>
      </w:r>
      <w:r>
        <w:rPr>
          <w:rFonts w:ascii="Times New Roman" w:hAnsi="Times New Roman" w:cs="Times New Roman"/>
          <w:szCs w:val="18"/>
        </w:rPr>
        <w:t xml:space="preserve"> 2005) at</w:t>
      </w:r>
      <w:r w:rsidRPr="00EE26E4">
        <w:rPr>
          <w:rFonts w:ascii="Times New Roman" w:hAnsi="Times New Roman" w:cs="Times New Roman"/>
          <w:szCs w:val="18"/>
        </w:rPr>
        <w:t xml:space="preserve"> 9</w:t>
      </w:r>
      <w:r>
        <w:rPr>
          <w:rFonts w:ascii="Times New Roman" w:hAnsi="Times New Roman" w:cs="Times New Roman"/>
          <w:szCs w:val="18"/>
        </w:rPr>
        <w:t>-</w:t>
      </w:r>
      <w:r w:rsidRPr="00EE26E4">
        <w:rPr>
          <w:rFonts w:ascii="Times New Roman" w:hAnsi="Times New Roman" w:cs="Times New Roman"/>
          <w:szCs w:val="18"/>
        </w:rPr>
        <w:t xml:space="preserve"> 10</w:t>
      </w:r>
      <w:r>
        <w:rPr>
          <w:rFonts w:ascii="Times New Roman" w:hAnsi="Times New Roman" w:cs="Times New Roman"/>
          <w:szCs w:val="18"/>
        </w:rPr>
        <w:t xml:space="preserve"> [“</w:t>
      </w:r>
      <w:r>
        <w:rPr>
          <w:rFonts w:ascii="Times New Roman" w:hAnsi="Times New Roman" w:cs="Times New Roman"/>
          <w:i/>
          <w:szCs w:val="18"/>
        </w:rPr>
        <w:t>Mann</w:t>
      </w:r>
      <w:r w:rsidRPr="005A5644">
        <w:rPr>
          <w:rFonts w:ascii="Times New Roman" w:hAnsi="Times New Roman" w:cs="Times New Roman"/>
          <w:szCs w:val="18"/>
        </w:rPr>
        <w:t>”</w:t>
      </w:r>
      <w:r>
        <w:rPr>
          <w:rFonts w:ascii="Times New Roman" w:hAnsi="Times New Roman" w:cs="Times New Roman"/>
          <w:szCs w:val="18"/>
        </w:rPr>
        <w:t>]</w:t>
      </w:r>
      <w:r w:rsidRPr="00EE26E4">
        <w:rPr>
          <w:rFonts w:ascii="Times New Roman" w:hAnsi="Times New Roman" w:cs="Times New Roman"/>
          <w:szCs w:val="18"/>
        </w:rPr>
        <w:t>.</w:t>
      </w:r>
    </w:p>
  </w:footnote>
  <w:footnote w:id="18">
    <w:p w:rsidR="00D41D12" w:rsidRPr="00B96949"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Gehl v Attorney General of Canada,</w:t>
      </w:r>
      <w:r>
        <w:rPr>
          <w:rFonts w:ascii="Times New Roman" w:hAnsi="Times New Roman" w:cs="Times New Roman"/>
          <w:szCs w:val="18"/>
        </w:rPr>
        <w:t xml:space="preserve"> 2015 ONSC 3481 at paras 49-55</w:t>
      </w:r>
      <w:r w:rsidRPr="00EE26E4">
        <w:rPr>
          <w:rFonts w:ascii="Times New Roman" w:hAnsi="Times New Roman" w:cs="Times New Roman"/>
          <w:szCs w:val="18"/>
        </w:rPr>
        <w:t xml:space="preserve"> </w:t>
      </w:r>
      <w:r>
        <w:rPr>
          <w:rFonts w:ascii="Times New Roman" w:hAnsi="Times New Roman" w:cs="Times New Roman"/>
          <w:szCs w:val="18"/>
        </w:rPr>
        <w:t>[“</w:t>
      </w:r>
      <w:r>
        <w:rPr>
          <w:rFonts w:ascii="Times New Roman" w:hAnsi="Times New Roman" w:cs="Times New Roman"/>
          <w:i/>
          <w:szCs w:val="18"/>
        </w:rPr>
        <w:t>Gehl</w:t>
      </w:r>
      <w:r>
        <w:rPr>
          <w:rFonts w:ascii="Times New Roman" w:hAnsi="Times New Roman" w:cs="Times New Roman"/>
          <w:szCs w:val="18"/>
        </w:rPr>
        <w:t>”].</w:t>
      </w:r>
    </w:p>
  </w:footnote>
  <w:footnote w:id="19">
    <w:p w:rsidR="00D41D12" w:rsidRPr="00EE26E4" w:rsidRDefault="00D41D12" w:rsidP="00964166">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Ibid</w:t>
      </w:r>
      <w:r>
        <w:rPr>
          <w:rFonts w:ascii="Times New Roman" w:hAnsi="Times New Roman" w:cs="Times New Roman"/>
          <w:szCs w:val="18"/>
        </w:rPr>
        <w:t xml:space="preserve"> </w:t>
      </w:r>
      <w:r w:rsidRPr="00EE26E4">
        <w:rPr>
          <w:rFonts w:ascii="Times New Roman" w:hAnsi="Times New Roman" w:cs="Times New Roman"/>
          <w:szCs w:val="18"/>
        </w:rPr>
        <w:t>at para</w:t>
      </w:r>
      <w:r>
        <w:rPr>
          <w:rFonts w:ascii="Times New Roman" w:hAnsi="Times New Roman" w:cs="Times New Roman"/>
          <w:szCs w:val="18"/>
        </w:rPr>
        <w:t>s 49-</w:t>
      </w:r>
      <w:r w:rsidRPr="00EE26E4">
        <w:rPr>
          <w:rFonts w:ascii="Times New Roman" w:hAnsi="Times New Roman" w:cs="Times New Roman"/>
          <w:szCs w:val="18"/>
        </w:rPr>
        <w:t xml:space="preserve">55. </w:t>
      </w:r>
      <w:r>
        <w:rPr>
          <w:rFonts w:ascii="Times New Roman" w:hAnsi="Times New Roman" w:cs="Times New Roman"/>
          <w:szCs w:val="18"/>
        </w:rPr>
        <w:t xml:space="preserve"> </w:t>
      </w:r>
    </w:p>
  </w:footnote>
  <w:footnote w:id="20">
    <w:p w:rsidR="00D41D12" w:rsidRPr="00B96949"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Quebec v</w:t>
      </w:r>
      <w:r w:rsidRPr="00EE26E4">
        <w:rPr>
          <w:rFonts w:ascii="Times New Roman" w:hAnsi="Times New Roman" w:cs="Times New Roman"/>
          <w:i/>
          <w:szCs w:val="18"/>
        </w:rPr>
        <w:t xml:space="preserve"> A,</w:t>
      </w:r>
      <w:r w:rsidRPr="00B96949">
        <w:t xml:space="preserve"> </w:t>
      </w:r>
      <w:r>
        <w:rPr>
          <w:rFonts w:ascii="Times New Roman" w:hAnsi="Times New Roman" w:cs="Times New Roman"/>
          <w:szCs w:val="18"/>
        </w:rPr>
        <w:t>[</w:t>
      </w:r>
      <w:r w:rsidRPr="00B96949">
        <w:rPr>
          <w:rFonts w:ascii="Times New Roman" w:hAnsi="Times New Roman" w:cs="Times New Roman"/>
          <w:szCs w:val="18"/>
        </w:rPr>
        <w:t xml:space="preserve">2013] </w:t>
      </w:r>
      <w:proofErr w:type="gramStart"/>
      <w:r w:rsidRPr="00B96949">
        <w:rPr>
          <w:rFonts w:ascii="Times New Roman" w:hAnsi="Times New Roman" w:cs="Times New Roman"/>
          <w:szCs w:val="18"/>
        </w:rPr>
        <w:t>1</w:t>
      </w:r>
      <w:proofErr w:type="gramEnd"/>
      <w:r w:rsidRPr="00B96949">
        <w:rPr>
          <w:rFonts w:ascii="Times New Roman" w:hAnsi="Times New Roman" w:cs="Times New Roman"/>
          <w:szCs w:val="18"/>
        </w:rPr>
        <w:t xml:space="preserve"> SCR 61, 2013 SCC 5</w:t>
      </w:r>
      <w:r>
        <w:rPr>
          <w:rFonts w:ascii="Times New Roman" w:hAnsi="Times New Roman" w:cs="Times New Roman"/>
          <w:szCs w:val="18"/>
        </w:rPr>
        <w:t xml:space="preserve"> at para</w:t>
      </w:r>
      <w:r w:rsidRPr="00EE26E4">
        <w:rPr>
          <w:rFonts w:ascii="Times New Roman" w:hAnsi="Times New Roman" w:cs="Times New Roman"/>
          <w:szCs w:val="18"/>
        </w:rPr>
        <w:t xml:space="preserve"> 331</w:t>
      </w:r>
      <w:r>
        <w:rPr>
          <w:rFonts w:ascii="Times New Roman" w:hAnsi="Times New Roman" w:cs="Times New Roman"/>
          <w:szCs w:val="18"/>
        </w:rPr>
        <w:t xml:space="preserve"> [“</w:t>
      </w:r>
      <w:r>
        <w:rPr>
          <w:rFonts w:ascii="Times New Roman" w:hAnsi="Times New Roman" w:cs="Times New Roman"/>
          <w:i/>
          <w:szCs w:val="18"/>
        </w:rPr>
        <w:t>Quebec v A</w:t>
      </w:r>
      <w:r>
        <w:rPr>
          <w:rFonts w:ascii="Times New Roman" w:hAnsi="Times New Roman" w:cs="Times New Roman"/>
          <w:szCs w:val="18"/>
        </w:rPr>
        <w:t>”], per Abella J for the majority on the scope and application of s 15(1).</w:t>
      </w:r>
    </w:p>
  </w:footnote>
  <w:footnote w:id="21">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Taypotat</w:t>
      </w:r>
      <w:r>
        <w:rPr>
          <w:rFonts w:ascii="Times New Roman" w:hAnsi="Times New Roman" w:cs="Times New Roman"/>
          <w:i/>
          <w:szCs w:val="18"/>
        </w:rPr>
        <w:t>, supra</w:t>
      </w:r>
      <w:r>
        <w:rPr>
          <w:rFonts w:ascii="Times New Roman" w:hAnsi="Times New Roman" w:cs="Times New Roman"/>
          <w:szCs w:val="18"/>
        </w:rPr>
        <w:t xml:space="preserve"> note </w:t>
      </w:r>
      <w:proofErr w:type="gramStart"/>
      <w:r>
        <w:rPr>
          <w:rFonts w:ascii="Times New Roman" w:hAnsi="Times New Roman" w:cs="Times New Roman"/>
          <w:szCs w:val="18"/>
        </w:rPr>
        <w:t>2</w:t>
      </w:r>
      <w:proofErr w:type="gramEnd"/>
      <w:r w:rsidRPr="00EE26E4">
        <w:rPr>
          <w:rFonts w:ascii="Times New Roman" w:hAnsi="Times New Roman" w:cs="Times New Roman"/>
          <w:i/>
          <w:szCs w:val="18"/>
        </w:rPr>
        <w:t xml:space="preserve"> </w:t>
      </w:r>
      <w:r w:rsidRPr="00EE26E4">
        <w:rPr>
          <w:rFonts w:ascii="Times New Roman" w:hAnsi="Times New Roman" w:cs="Times New Roman"/>
          <w:szCs w:val="18"/>
        </w:rPr>
        <w:t>at para 19</w:t>
      </w:r>
      <w:r>
        <w:rPr>
          <w:rFonts w:ascii="Times New Roman" w:hAnsi="Times New Roman" w:cs="Times New Roman"/>
          <w:szCs w:val="18"/>
        </w:rPr>
        <w:t>.</w:t>
      </w:r>
    </w:p>
  </w:footnote>
  <w:footnote w:id="22">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Taypotat</w:t>
      </w:r>
      <w:r>
        <w:rPr>
          <w:rFonts w:ascii="Times New Roman" w:hAnsi="Times New Roman" w:cs="Times New Roman"/>
          <w:i/>
          <w:szCs w:val="18"/>
        </w:rPr>
        <w:t>,</w:t>
      </w:r>
      <w:r w:rsidRPr="00B96949">
        <w:rPr>
          <w:rFonts w:ascii="Times New Roman" w:hAnsi="Times New Roman" w:cs="Times New Roman"/>
          <w:i/>
          <w:szCs w:val="18"/>
        </w:rPr>
        <w:t xml:space="preserve"> </w:t>
      </w:r>
      <w:r>
        <w:rPr>
          <w:rFonts w:ascii="Times New Roman" w:hAnsi="Times New Roman" w:cs="Times New Roman"/>
          <w:i/>
          <w:szCs w:val="18"/>
        </w:rPr>
        <w:t>supra</w:t>
      </w:r>
      <w:r>
        <w:rPr>
          <w:rFonts w:ascii="Times New Roman" w:hAnsi="Times New Roman" w:cs="Times New Roman"/>
          <w:szCs w:val="18"/>
        </w:rPr>
        <w:t xml:space="preserve"> note </w:t>
      </w:r>
      <w:proofErr w:type="gramStart"/>
      <w:r>
        <w:rPr>
          <w:rFonts w:ascii="Times New Roman" w:hAnsi="Times New Roman" w:cs="Times New Roman"/>
          <w:szCs w:val="18"/>
        </w:rPr>
        <w:t>2</w:t>
      </w:r>
      <w:proofErr w:type="gramEnd"/>
      <w:r w:rsidRPr="00EE26E4">
        <w:rPr>
          <w:rFonts w:ascii="Times New Roman" w:hAnsi="Times New Roman" w:cs="Times New Roman"/>
          <w:szCs w:val="18"/>
        </w:rPr>
        <w:t xml:space="preserve"> at para 20.</w:t>
      </w:r>
    </w:p>
  </w:footnote>
  <w:footnote w:id="23">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Andrews v Law Society of British Columbia, </w:t>
      </w:r>
      <w:r>
        <w:rPr>
          <w:rFonts w:ascii="Times New Roman" w:hAnsi="Times New Roman" w:cs="Times New Roman"/>
          <w:szCs w:val="18"/>
        </w:rPr>
        <w:t xml:space="preserve">[1989] 1 SCR </w:t>
      </w:r>
      <w:proofErr w:type="gramStart"/>
      <w:r>
        <w:rPr>
          <w:rFonts w:ascii="Times New Roman" w:hAnsi="Times New Roman" w:cs="Times New Roman"/>
          <w:szCs w:val="18"/>
        </w:rPr>
        <w:t xml:space="preserve">143 </w:t>
      </w:r>
      <w:r w:rsidRPr="00EE26E4">
        <w:rPr>
          <w:rFonts w:ascii="Times New Roman" w:hAnsi="Times New Roman" w:cs="Times New Roman"/>
          <w:i/>
          <w:szCs w:val="18"/>
        </w:rPr>
        <w:t xml:space="preserve"> </w:t>
      </w:r>
      <w:r w:rsidRPr="00EE26E4">
        <w:rPr>
          <w:rFonts w:ascii="Times New Roman" w:hAnsi="Times New Roman" w:cs="Times New Roman"/>
          <w:szCs w:val="18"/>
        </w:rPr>
        <w:t>at</w:t>
      </w:r>
      <w:proofErr w:type="gramEnd"/>
      <w:r w:rsidRPr="00EE26E4">
        <w:rPr>
          <w:rFonts w:ascii="Times New Roman" w:hAnsi="Times New Roman" w:cs="Times New Roman"/>
          <w:szCs w:val="18"/>
        </w:rPr>
        <w:t xml:space="preserve"> 166</w:t>
      </w:r>
      <w:r>
        <w:rPr>
          <w:rFonts w:ascii="Times New Roman" w:hAnsi="Times New Roman" w:cs="Times New Roman"/>
          <w:szCs w:val="18"/>
        </w:rPr>
        <w:t xml:space="preserve"> [“</w:t>
      </w:r>
      <w:r>
        <w:rPr>
          <w:rFonts w:ascii="Times New Roman" w:hAnsi="Times New Roman" w:cs="Times New Roman"/>
          <w:i/>
          <w:szCs w:val="18"/>
        </w:rPr>
        <w:t>Andrews</w:t>
      </w:r>
      <w:r>
        <w:rPr>
          <w:rFonts w:ascii="Times New Roman" w:hAnsi="Times New Roman" w:cs="Times New Roman"/>
          <w:szCs w:val="18"/>
        </w:rPr>
        <w:t>”]</w:t>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Withler v Canada (Attorney General), </w:t>
      </w:r>
      <w:r w:rsidRPr="00EE26E4">
        <w:rPr>
          <w:rFonts w:ascii="Times New Roman" w:hAnsi="Times New Roman" w:cs="Times New Roman"/>
          <w:szCs w:val="18"/>
        </w:rPr>
        <w:t>[2011] 1 SCR 396, 2011 SCC 12 at para 2 [“</w:t>
      </w:r>
      <w:r w:rsidRPr="00EE26E4">
        <w:rPr>
          <w:rFonts w:ascii="Times New Roman" w:hAnsi="Times New Roman" w:cs="Times New Roman"/>
          <w:i/>
          <w:szCs w:val="18"/>
        </w:rPr>
        <w:t>Withler</w:t>
      </w:r>
      <w:r w:rsidRPr="00EE26E4">
        <w:rPr>
          <w:rFonts w:ascii="Times New Roman" w:hAnsi="Times New Roman" w:cs="Times New Roman"/>
          <w:szCs w:val="18"/>
        </w:rPr>
        <w:t>”].</w:t>
      </w:r>
    </w:p>
  </w:footnote>
  <w:footnote w:id="24">
    <w:p w:rsidR="00D41D12" w:rsidRPr="00EE26E4" w:rsidRDefault="00D41D12" w:rsidP="002C4864">
      <w:pPr>
        <w:pStyle w:val="FootnoteText"/>
        <w:ind w:left="720" w:hanging="720"/>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Taypotat</w:t>
      </w:r>
      <w:r>
        <w:rPr>
          <w:rFonts w:ascii="Times New Roman" w:hAnsi="Times New Roman" w:cs="Times New Roman"/>
          <w:szCs w:val="18"/>
        </w:rPr>
        <w:t xml:space="preserve">, </w:t>
      </w:r>
      <w:r>
        <w:rPr>
          <w:rFonts w:ascii="Times New Roman" w:hAnsi="Times New Roman" w:cs="Times New Roman"/>
          <w:i/>
          <w:szCs w:val="18"/>
        </w:rPr>
        <w:t xml:space="preserve">supra </w:t>
      </w:r>
      <w:r>
        <w:rPr>
          <w:rFonts w:ascii="Times New Roman" w:hAnsi="Times New Roman" w:cs="Times New Roman"/>
          <w:szCs w:val="18"/>
        </w:rPr>
        <w:t xml:space="preserve">note </w:t>
      </w:r>
      <w:proofErr w:type="gramStart"/>
      <w:r>
        <w:rPr>
          <w:rFonts w:ascii="Times New Roman" w:hAnsi="Times New Roman" w:cs="Times New Roman"/>
          <w:szCs w:val="18"/>
        </w:rPr>
        <w:t>2</w:t>
      </w:r>
      <w:proofErr w:type="gramEnd"/>
      <w:r w:rsidRPr="00EE26E4">
        <w:rPr>
          <w:rFonts w:ascii="Times New Roman" w:hAnsi="Times New Roman" w:cs="Times New Roman"/>
          <w:szCs w:val="18"/>
        </w:rPr>
        <w:t xml:space="preserve"> at para 17</w:t>
      </w:r>
      <w:r>
        <w:rPr>
          <w:rFonts w:ascii="Times New Roman" w:hAnsi="Times New Roman" w:cs="Times New Roman"/>
          <w:szCs w:val="18"/>
        </w:rPr>
        <w:t>.</w:t>
      </w:r>
    </w:p>
  </w:footnote>
  <w:footnote w:id="25">
    <w:p w:rsidR="00D41D12" w:rsidRPr="00EE26E4" w:rsidRDefault="00D41D12" w:rsidP="00524370">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R v Turpin</w:t>
      </w:r>
      <w:r>
        <w:rPr>
          <w:rFonts w:ascii="Times New Roman" w:hAnsi="Times New Roman" w:cs="Times New Roman"/>
          <w:szCs w:val="18"/>
        </w:rPr>
        <w:t xml:space="preserve">, [1989] </w:t>
      </w:r>
      <w:proofErr w:type="gramStart"/>
      <w:r>
        <w:rPr>
          <w:rFonts w:ascii="Times New Roman" w:hAnsi="Times New Roman" w:cs="Times New Roman"/>
          <w:szCs w:val="18"/>
        </w:rPr>
        <w:t>1</w:t>
      </w:r>
      <w:proofErr w:type="gramEnd"/>
      <w:r>
        <w:rPr>
          <w:rFonts w:ascii="Times New Roman" w:hAnsi="Times New Roman" w:cs="Times New Roman"/>
          <w:szCs w:val="18"/>
        </w:rPr>
        <w:t xml:space="preserve"> SCR 1296</w:t>
      </w:r>
      <w:r w:rsidRPr="00EE26E4">
        <w:rPr>
          <w:rFonts w:ascii="Times New Roman" w:hAnsi="Times New Roman" w:cs="Times New Roman"/>
          <w:szCs w:val="18"/>
        </w:rPr>
        <w:t xml:space="preserve"> at 1331-1332.</w:t>
      </w:r>
    </w:p>
  </w:footnote>
  <w:footnote w:id="26">
    <w:p w:rsidR="00D41D12" w:rsidRPr="00EE26E4" w:rsidRDefault="00D41D12" w:rsidP="0032740C">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In 2013, Statistics Canada data indicated that 8/10 police</w:t>
      </w:r>
      <w:r>
        <w:rPr>
          <w:rFonts w:ascii="Times New Roman" w:hAnsi="Times New Roman" w:cs="Times New Roman"/>
          <w:szCs w:val="18"/>
        </w:rPr>
        <w:t xml:space="preserve"> </w:t>
      </w:r>
      <w:r w:rsidRPr="00EE26E4">
        <w:rPr>
          <w:rFonts w:ascii="Times New Roman" w:hAnsi="Times New Roman" w:cs="Times New Roman"/>
          <w:szCs w:val="18"/>
        </w:rPr>
        <w:t xml:space="preserve">reports of intimate partner violence were </w:t>
      </w:r>
      <w:r>
        <w:rPr>
          <w:rFonts w:ascii="Times New Roman" w:hAnsi="Times New Roman" w:cs="Times New Roman"/>
          <w:szCs w:val="18"/>
        </w:rPr>
        <w:t xml:space="preserve">assaults </w:t>
      </w:r>
      <w:r w:rsidRPr="00EE26E4">
        <w:rPr>
          <w:rFonts w:ascii="Times New Roman" w:hAnsi="Times New Roman" w:cs="Times New Roman"/>
          <w:szCs w:val="18"/>
        </w:rPr>
        <w:t>against women, including 98% of reported sexual assaults in i</w:t>
      </w:r>
      <w:r>
        <w:rPr>
          <w:rFonts w:ascii="Times New Roman" w:hAnsi="Times New Roman" w:cs="Times New Roman"/>
          <w:szCs w:val="18"/>
        </w:rPr>
        <w:t>ntimate partner relationships</w:t>
      </w:r>
      <w:r w:rsidRPr="006E26BE">
        <w:t xml:space="preserve"> </w:t>
      </w:r>
      <w:r w:rsidRPr="006E26BE">
        <w:rPr>
          <w:rFonts w:ascii="Times New Roman" w:hAnsi="Times New Roman" w:cs="Times New Roman"/>
          <w:szCs w:val="18"/>
        </w:rPr>
        <w:t xml:space="preserve">Canadian Centre for Justice Statistics,  </w:t>
      </w:r>
      <w:r w:rsidRPr="006E26BE">
        <w:rPr>
          <w:rFonts w:ascii="Times New Roman" w:hAnsi="Times New Roman" w:cs="Times New Roman"/>
          <w:i/>
          <w:szCs w:val="18"/>
        </w:rPr>
        <w:t>Family Violence in Canada: A statistical profile, 2013</w:t>
      </w:r>
      <w:r w:rsidRPr="006E26BE">
        <w:rPr>
          <w:rFonts w:ascii="Times New Roman" w:hAnsi="Times New Roman" w:cs="Times New Roman"/>
          <w:szCs w:val="18"/>
        </w:rPr>
        <w:t>, (Ottawa: Statistics Canada, January 15, 2015)</w:t>
      </w:r>
      <w:r>
        <w:rPr>
          <w:rFonts w:ascii="Times New Roman" w:hAnsi="Times New Roman" w:cs="Times New Roman"/>
          <w:szCs w:val="18"/>
        </w:rPr>
        <w:t xml:space="preserve"> at </w:t>
      </w:r>
      <w:r w:rsidRPr="00EE26E4">
        <w:rPr>
          <w:rFonts w:ascii="Times New Roman" w:hAnsi="Times New Roman" w:cs="Times New Roman"/>
          <w:szCs w:val="18"/>
        </w:rPr>
        <w:t>23, 25, 31.</w:t>
      </w:r>
    </w:p>
  </w:footnote>
  <w:footnote w:id="27">
    <w:p w:rsidR="00D41D12" w:rsidRPr="00EE26E4" w:rsidRDefault="00D41D12" w:rsidP="00A50063">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Pr>
          <w:rFonts w:ascii="Times New Roman" w:hAnsi="Times New Roman" w:cs="Times New Roman"/>
          <w:szCs w:val="18"/>
        </w:rPr>
        <w:t xml:space="preserve"> </w:t>
      </w:r>
      <w:r w:rsidRPr="006E26BE">
        <w:rPr>
          <w:rFonts w:ascii="Times New Roman" w:hAnsi="Times New Roman" w:cs="Times New Roman"/>
          <w:szCs w:val="18"/>
        </w:rPr>
        <w:t xml:space="preserve">Statistics Canada, “Violent Victimization of Aboriginal women in the Canadian provinces, 2009”, </w:t>
      </w:r>
      <w:r w:rsidRPr="006E26BE">
        <w:rPr>
          <w:rFonts w:ascii="Times New Roman" w:hAnsi="Times New Roman" w:cs="Times New Roman"/>
          <w:i/>
          <w:szCs w:val="18"/>
        </w:rPr>
        <w:t>Juristat Article,</w:t>
      </w:r>
      <w:r w:rsidRPr="006E26BE">
        <w:rPr>
          <w:rFonts w:ascii="Times New Roman" w:hAnsi="Times New Roman" w:cs="Times New Roman"/>
          <w:szCs w:val="18"/>
        </w:rPr>
        <w:t xml:space="preserve"> by Shannon Brennan (Ottawa: Statistics Canada, May 17 2011)</w:t>
      </w:r>
      <w:r>
        <w:rPr>
          <w:rFonts w:ascii="Times New Roman" w:hAnsi="Times New Roman" w:cs="Times New Roman"/>
          <w:szCs w:val="18"/>
        </w:rPr>
        <w:t xml:space="preserve"> at </w:t>
      </w:r>
      <w:r w:rsidRPr="00EE26E4">
        <w:rPr>
          <w:rFonts w:ascii="Times New Roman" w:hAnsi="Times New Roman" w:cs="Times New Roman"/>
          <w:szCs w:val="18"/>
        </w:rPr>
        <w:t>10.</w:t>
      </w:r>
    </w:p>
  </w:footnote>
  <w:footnote w:id="28">
    <w:p w:rsidR="00D41D12" w:rsidRPr="00EE26E4" w:rsidRDefault="00D41D12" w:rsidP="00B942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szCs w:val="18"/>
        </w:rPr>
        <w:t xml:space="preserve">Stuart Clatworthy, </w:t>
      </w:r>
      <w:r w:rsidRPr="00462947">
        <w:rPr>
          <w:rFonts w:ascii="Times New Roman" w:hAnsi="Times New Roman" w:cs="Times New Roman"/>
          <w:i/>
          <w:szCs w:val="18"/>
        </w:rPr>
        <w:t>Analysis of Select Population Impacts of the 1985 Amendments to the Indian Act (Bill C-31) and Select Hypothetical Amendments to the 1985 Indian Act</w:t>
      </w:r>
      <w:r>
        <w:rPr>
          <w:rFonts w:ascii="Times New Roman" w:hAnsi="Times New Roman" w:cs="Times New Roman"/>
          <w:szCs w:val="18"/>
        </w:rPr>
        <w:t xml:space="preserve">,  (24 April 2013), prepared for the Department of Justice. </w:t>
      </w:r>
      <w:proofErr w:type="gramStart"/>
      <w:r>
        <w:rPr>
          <w:rFonts w:ascii="Times New Roman" w:hAnsi="Times New Roman" w:cs="Times New Roman"/>
          <w:szCs w:val="18"/>
        </w:rPr>
        <w:t>Joint Motion Record, Tab 27, at 18 [“Clatworthy”].</w:t>
      </w:r>
      <w:proofErr w:type="gramEnd"/>
    </w:p>
  </w:footnote>
  <w:footnote w:id="29">
    <w:p w:rsidR="00D41D12" w:rsidRPr="008C11CA" w:rsidRDefault="00D41D12">
      <w:pPr>
        <w:pStyle w:val="FootnoteText"/>
        <w:rPr>
          <w:rFonts w:ascii="Times New Roman" w:hAnsi="Times New Roman" w:cs="Times New Roman"/>
        </w:rPr>
      </w:pPr>
      <w:r w:rsidRPr="008C11CA">
        <w:rPr>
          <w:rStyle w:val="FootnoteReference"/>
          <w:rFonts w:ascii="Times New Roman" w:hAnsi="Times New Roman" w:cs="Times New Roman"/>
        </w:rPr>
        <w:footnoteRef/>
      </w:r>
      <w:r w:rsidRPr="008C11CA">
        <w:rPr>
          <w:rFonts w:ascii="Times New Roman" w:hAnsi="Times New Roman" w:cs="Times New Roman"/>
        </w:rPr>
        <w:t xml:space="preserve"> </w:t>
      </w:r>
      <w:proofErr w:type="gramStart"/>
      <w:r w:rsidRPr="00462947">
        <w:rPr>
          <w:rFonts w:ascii="Times New Roman" w:hAnsi="Times New Roman" w:cs="Times New Roman"/>
          <w:i/>
        </w:rPr>
        <w:t>Joint Statement of the Parties’ Expert Demographers, Stewart Clatworthy and James S. Fideres</w:t>
      </w:r>
      <w:r w:rsidRPr="008C11CA">
        <w:rPr>
          <w:rFonts w:ascii="Times New Roman" w:hAnsi="Times New Roman" w:cs="Times New Roman"/>
        </w:rPr>
        <w:t>, signed September 25 &amp; 26, 2013 at p1</w:t>
      </w:r>
      <w:r>
        <w:rPr>
          <w:rFonts w:ascii="Times New Roman" w:hAnsi="Times New Roman" w:cs="Times New Roman"/>
        </w:rPr>
        <w:t>,</w:t>
      </w:r>
      <w:r w:rsidRPr="008C11CA">
        <w:rPr>
          <w:rFonts w:ascii="Times New Roman" w:hAnsi="Times New Roman" w:cs="Times New Roman"/>
        </w:rPr>
        <w:t xml:space="preserve"> Joint Motion Record, Tab 28</w:t>
      </w:r>
      <w:r>
        <w:rPr>
          <w:rFonts w:ascii="Times New Roman" w:hAnsi="Times New Roman" w:cs="Times New Roman"/>
        </w:rPr>
        <w:t xml:space="preserve"> [“</w:t>
      </w:r>
      <w:r>
        <w:rPr>
          <w:rFonts w:ascii="Times New Roman" w:hAnsi="Times New Roman" w:cs="Times New Roman"/>
          <w:i/>
        </w:rPr>
        <w:t>Joint Statement of the Parties Expert Demographers</w:t>
      </w:r>
      <w:r>
        <w:rPr>
          <w:rFonts w:ascii="Times New Roman" w:hAnsi="Times New Roman" w:cs="Times New Roman"/>
        </w:rPr>
        <w:t>”] at 1</w:t>
      </w:r>
      <w:r w:rsidRPr="008C11CA">
        <w:rPr>
          <w:rFonts w:ascii="Times New Roman" w:hAnsi="Times New Roman" w:cs="Times New Roman"/>
        </w:rPr>
        <w:t>.</w:t>
      </w:r>
      <w:proofErr w:type="gramEnd"/>
    </w:p>
  </w:footnote>
  <w:footnote w:id="30">
    <w:p w:rsidR="00D41D12" w:rsidRPr="00EE26E4" w:rsidRDefault="00D41D12" w:rsidP="00970660">
      <w:pPr>
        <w:pStyle w:val="FootnoteText"/>
        <w:rPr>
          <w:rFonts w:ascii="Times New Roman" w:hAnsi="Times New Roman" w:cs="Times New Roman"/>
          <w:szCs w:val="18"/>
        </w:rPr>
      </w:pPr>
      <w:r w:rsidRPr="008C11CA">
        <w:rPr>
          <w:rStyle w:val="FootnoteReference"/>
          <w:rFonts w:ascii="Times New Roman" w:hAnsi="Times New Roman" w:cs="Times New Roman"/>
          <w:szCs w:val="18"/>
        </w:rPr>
        <w:footnoteRef/>
      </w:r>
      <w:r w:rsidRPr="008C11CA">
        <w:rPr>
          <w:rFonts w:ascii="Times New Roman" w:hAnsi="Times New Roman" w:cs="Times New Roman"/>
          <w:szCs w:val="18"/>
        </w:rPr>
        <w:t xml:space="preserve"> Clatworthy</w:t>
      </w:r>
      <w:r>
        <w:rPr>
          <w:rFonts w:ascii="Times New Roman" w:hAnsi="Times New Roman" w:cs="Times New Roman"/>
          <w:szCs w:val="18"/>
        </w:rPr>
        <w:t xml:space="preserve">, </w:t>
      </w:r>
      <w:r>
        <w:rPr>
          <w:rFonts w:ascii="Times New Roman" w:hAnsi="Times New Roman" w:cs="Times New Roman"/>
          <w:i/>
          <w:szCs w:val="18"/>
        </w:rPr>
        <w:t xml:space="preserve">supra </w:t>
      </w:r>
      <w:r>
        <w:rPr>
          <w:rFonts w:ascii="Times New Roman" w:hAnsi="Times New Roman" w:cs="Times New Roman"/>
          <w:szCs w:val="18"/>
        </w:rPr>
        <w:t xml:space="preserve">note 27 at </w:t>
      </w:r>
      <w:r w:rsidRPr="008C11CA">
        <w:rPr>
          <w:rFonts w:ascii="Times New Roman" w:hAnsi="Times New Roman" w:cs="Times New Roman"/>
          <w:szCs w:val="18"/>
        </w:rPr>
        <w:t>17.</w:t>
      </w:r>
    </w:p>
  </w:footnote>
  <w:footnote w:id="31">
    <w:p w:rsidR="00D41D12" w:rsidRDefault="00D41D12">
      <w:pPr>
        <w:pStyle w:val="FootnoteText"/>
      </w:pPr>
      <w:r>
        <w:rPr>
          <w:rStyle w:val="FootnoteReference"/>
        </w:rPr>
        <w:footnoteRef/>
      </w:r>
      <w:r>
        <w:t xml:space="preserve"> </w:t>
      </w:r>
      <w:r>
        <w:rPr>
          <w:rFonts w:ascii="Times New Roman" w:hAnsi="Times New Roman" w:cs="Times New Roman"/>
          <w:i/>
        </w:rPr>
        <w:t xml:space="preserve">Joint Statement of the Parties Expert </w:t>
      </w:r>
      <w:proofErr w:type="gramStart"/>
      <w:r>
        <w:rPr>
          <w:rFonts w:ascii="Times New Roman" w:hAnsi="Times New Roman" w:cs="Times New Roman"/>
          <w:i/>
        </w:rPr>
        <w:t>Demographers</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i/>
        </w:rPr>
        <w:t xml:space="preserve">supra </w:t>
      </w:r>
      <w:r>
        <w:rPr>
          <w:rFonts w:ascii="Times New Roman" w:hAnsi="Times New Roman" w:cs="Times New Roman"/>
        </w:rPr>
        <w:t xml:space="preserve">note 28 </w:t>
      </w:r>
      <w:r w:rsidRPr="008C11CA">
        <w:rPr>
          <w:rFonts w:ascii="Times New Roman" w:hAnsi="Times New Roman" w:cs="Times New Roman"/>
        </w:rPr>
        <w:t>at p</w:t>
      </w:r>
      <w:r>
        <w:rPr>
          <w:rFonts w:ascii="Times New Roman" w:hAnsi="Times New Roman" w:cs="Times New Roman"/>
        </w:rPr>
        <w:t xml:space="preserve"> </w:t>
      </w:r>
      <w:r w:rsidRPr="008C11CA">
        <w:rPr>
          <w:rFonts w:ascii="Times New Roman" w:hAnsi="Times New Roman" w:cs="Times New Roman"/>
        </w:rPr>
        <w:t>1</w:t>
      </w:r>
      <w:r>
        <w:t>.</w:t>
      </w:r>
    </w:p>
  </w:footnote>
  <w:footnote w:id="32">
    <w:p w:rsidR="00D41D12" w:rsidRPr="00C348D8" w:rsidRDefault="00D41D12" w:rsidP="00CF3509">
      <w:pPr>
        <w:pStyle w:val="FootnoteText"/>
        <w:rPr>
          <w:rFonts w:ascii="Times New Roman" w:hAnsi="Times New Roman" w:cs="Times New Roman"/>
          <w:szCs w:val="18"/>
        </w:rPr>
      </w:pPr>
      <w:r w:rsidRPr="00C348D8">
        <w:rPr>
          <w:rStyle w:val="FootnoteReference"/>
          <w:rFonts w:ascii="Times New Roman" w:hAnsi="Times New Roman" w:cs="Times New Roman"/>
          <w:szCs w:val="18"/>
        </w:rPr>
        <w:footnoteRef/>
      </w:r>
      <w:r w:rsidRPr="00C348D8">
        <w:rPr>
          <w:rFonts w:ascii="Times New Roman" w:hAnsi="Times New Roman" w:cs="Times New Roman"/>
          <w:szCs w:val="18"/>
        </w:rPr>
        <w:t xml:space="preserve"> </w:t>
      </w:r>
      <w:r w:rsidRPr="00C348D8">
        <w:rPr>
          <w:rFonts w:ascii="Times New Roman" w:hAnsi="Times New Roman" w:cs="Times New Roman"/>
          <w:i/>
          <w:szCs w:val="18"/>
        </w:rPr>
        <w:t>G</w:t>
      </w:r>
      <w:r>
        <w:rPr>
          <w:rFonts w:ascii="Times New Roman" w:hAnsi="Times New Roman" w:cs="Times New Roman"/>
          <w:i/>
          <w:szCs w:val="18"/>
        </w:rPr>
        <w:t xml:space="preserve">ehl, supra </w:t>
      </w:r>
      <w:r>
        <w:rPr>
          <w:rFonts w:ascii="Times New Roman" w:hAnsi="Times New Roman" w:cs="Times New Roman"/>
          <w:szCs w:val="18"/>
        </w:rPr>
        <w:t>note 17</w:t>
      </w:r>
      <w:r w:rsidRPr="00C348D8">
        <w:rPr>
          <w:rFonts w:ascii="Times New Roman" w:hAnsi="Times New Roman" w:cs="Times New Roman"/>
          <w:i/>
          <w:szCs w:val="18"/>
        </w:rPr>
        <w:t xml:space="preserve"> </w:t>
      </w:r>
      <w:r>
        <w:rPr>
          <w:rFonts w:ascii="Times New Roman" w:hAnsi="Times New Roman" w:cs="Times New Roman"/>
          <w:szCs w:val="18"/>
        </w:rPr>
        <w:t>at para</w:t>
      </w:r>
      <w:r w:rsidRPr="00C348D8">
        <w:rPr>
          <w:rFonts w:ascii="Times New Roman" w:hAnsi="Times New Roman" w:cs="Times New Roman"/>
          <w:szCs w:val="18"/>
        </w:rPr>
        <w:t xml:space="preserve"> 81.</w:t>
      </w:r>
    </w:p>
  </w:footnote>
  <w:footnote w:id="33">
    <w:p w:rsidR="00D41D12" w:rsidRPr="00C348D8" w:rsidRDefault="00D41D12" w:rsidP="00BF78CE">
      <w:pPr>
        <w:pStyle w:val="FootnoteText"/>
        <w:rPr>
          <w:rFonts w:ascii="Times New Roman" w:hAnsi="Times New Roman" w:cs="Times New Roman"/>
          <w:szCs w:val="18"/>
        </w:rPr>
      </w:pPr>
      <w:r w:rsidRPr="00C348D8">
        <w:rPr>
          <w:rStyle w:val="FootnoteReference"/>
          <w:rFonts w:ascii="Times New Roman" w:hAnsi="Times New Roman" w:cs="Times New Roman"/>
          <w:szCs w:val="18"/>
        </w:rPr>
        <w:footnoteRef/>
      </w:r>
      <w:r w:rsidRPr="00C348D8">
        <w:rPr>
          <w:rFonts w:ascii="Times New Roman" w:hAnsi="Times New Roman" w:cs="Times New Roman"/>
          <w:szCs w:val="18"/>
        </w:rPr>
        <w:t xml:space="preserve"> </w:t>
      </w:r>
      <w:r>
        <w:rPr>
          <w:rFonts w:ascii="Times New Roman" w:hAnsi="Times New Roman" w:cs="Times New Roman"/>
          <w:i/>
          <w:szCs w:val="18"/>
        </w:rPr>
        <w:t>Bliss v</w:t>
      </w:r>
      <w:r w:rsidRPr="00C348D8">
        <w:rPr>
          <w:rFonts w:ascii="Times New Roman" w:hAnsi="Times New Roman" w:cs="Times New Roman"/>
          <w:i/>
          <w:szCs w:val="18"/>
        </w:rPr>
        <w:t xml:space="preserve"> Attorney General of Canada, </w:t>
      </w:r>
      <w:r w:rsidRPr="00C348D8">
        <w:rPr>
          <w:rFonts w:ascii="Times New Roman" w:hAnsi="Times New Roman" w:cs="Times New Roman"/>
          <w:szCs w:val="18"/>
        </w:rPr>
        <w:t xml:space="preserve">[1979] </w:t>
      </w:r>
      <w:proofErr w:type="gramStart"/>
      <w:r w:rsidRPr="00C348D8">
        <w:rPr>
          <w:rFonts w:ascii="Times New Roman" w:hAnsi="Times New Roman" w:cs="Times New Roman"/>
          <w:szCs w:val="18"/>
        </w:rPr>
        <w:t>1</w:t>
      </w:r>
      <w:proofErr w:type="gramEnd"/>
      <w:r w:rsidRPr="00C348D8">
        <w:rPr>
          <w:rFonts w:ascii="Times New Roman" w:hAnsi="Times New Roman" w:cs="Times New Roman"/>
          <w:szCs w:val="18"/>
        </w:rPr>
        <w:t xml:space="preserve"> SCR 1283 at 190</w:t>
      </w:r>
      <w:r>
        <w:rPr>
          <w:rFonts w:ascii="Times New Roman" w:hAnsi="Times New Roman" w:cs="Times New Roman"/>
          <w:szCs w:val="18"/>
        </w:rPr>
        <w:t>.</w:t>
      </w:r>
    </w:p>
  </w:footnote>
  <w:footnote w:id="34">
    <w:p w:rsidR="00D41D12" w:rsidRPr="00EE26E4" w:rsidRDefault="00D41D12" w:rsidP="00BF78CE">
      <w:pPr>
        <w:pStyle w:val="FootnoteText"/>
        <w:rPr>
          <w:rFonts w:ascii="Times New Roman" w:hAnsi="Times New Roman" w:cs="Times New Roman"/>
          <w:szCs w:val="18"/>
        </w:rPr>
      </w:pPr>
      <w:r w:rsidRPr="00C348D8">
        <w:rPr>
          <w:rStyle w:val="FootnoteReference"/>
          <w:rFonts w:ascii="Times New Roman" w:hAnsi="Times New Roman" w:cs="Times New Roman"/>
          <w:szCs w:val="18"/>
        </w:rPr>
        <w:footnoteRef/>
      </w:r>
      <w:r w:rsidRPr="00C348D8">
        <w:rPr>
          <w:rFonts w:ascii="Times New Roman" w:hAnsi="Times New Roman" w:cs="Times New Roman"/>
          <w:szCs w:val="18"/>
        </w:rPr>
        <w:t xml:space="preserve"> </w:t>
      </w:r>
      <w:r w:rsidRPr="00C348D8">
        <w:rPr>
          <w:rFonts w:ascii="Times New Roman" w:hAnsi="Times New Roman" w:cs="Times New Roman"/>
          <w:i/>
          <w:szCs w:val="18"/>
        </w:rPr>
        <w:t>Andrews</w:t>
      </w:r>
      <w:r>
        <w:rPr>
          <w:rFonts w:ascii="Times New Roman" w:hAnsi="Times New Roman" w:cs="Times New Roman"/>
          <w:i/>
          <w:szCs w:val="18"/>
        </w:rPr>
        <w:t xml:space="preserve">, </w:t>
      </w:r>
      <w:proofErr w:type="gramStart"/>
      <w:r>
        <w:rPr>
          <w:rFonts w:ascii="Times New Roman" w:hAnsi="Times New Roman" w:cs="Times New Roman"/>
          <w:i/>
          <w:szCs w:val="18"/>
        </w:rPr>
        <w:t xml:space="preserve">supra </w:t>
      </w:r>
      <w:r>
        <w:rPr>
          <w:rFonts w:ascii="Times New Roman" w:hAnsi="Times New Roman" w:cs="Times New Roman"/>
          <w:szCs w:val="18"/>
        </w:rPr>
        <w:t xml:space="preserve"> note</w:t>
      </w:r>
      <w:proofErr w:type="gramEnd"/>
      <w:r>
        <w:rPr>
          <w:rFonts w:ascii="Times New Roman" w:hAnsi="Times New Roman" w:cs="Times New Roman"/>
          <w:szCs w:val="18"/>
        </w:rPr>
        <w:t xml:space="preserve"> 22 </w:t>
      </w:r>
      <w:r w:rsidRPr="00C348D8">
        <w:rPr>
          <w:rFonts w:ascii="Times New Roman" w:hAnsi="Times New Roman" w:cs="Times New Roman"/>
          <w:szCs w:val="18"/>
        </w:rPr>
        <w:t>at 167-168.</w:t>
      </w:r>
    </w:p>
  </w:footnote>
  <w:footnote w:id="35">
    <w:p w:rsidR="00D41D12" w:rsidRPr="00EE26E4" w:rsidRDefault="00D41D12" w:rsidP="00CA5036">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Brooks v</w:t>
      </w:r>
      <w:r w:rsidRPr="00EE26E4">
        <w:rPr>
          <w:rFonts w:ascii="Times New Roman" w:hAnsi="Times New Roman" w:cs="Times New Roman"/>
          <w:i/>
          <w:szCs w:val="18"/>
        </w:rPr>
        <w:t xml:space="preserve"> Canada Safeway Ltd,</w:t>
      </w:r>
      <w:r w:rsidRPr="00EE26E4">
        <w:rPr>
          <w:rFonts w:ascii="Times New Roman" w:hAnsi="Times New Roman" w:cs="Times New Roman"/>
          <w:szCs w:val="18"/>
        </w:rPr>
        <w:t xml:space="preserve"> [1989] </w:t>
      </w:r>
      <w:proofErr w:type="gramStart"/>
      <w:r w:rsidRPr="00EE26E4">
        <w:rPr>
          <w:rFonts w:ascii="Times New Roman" w:hAnsi="Times New Roman" w:cs="Times New Roman"/>
          <w:szCs w:val="18"/>
        </w:rPr>
        <w:t>1</w:t>
      </w:r>
      <w:proofErr w:type="gramEnd"/>
      <w:r w:rsidRPr="00EE26E4">
        <w:rPr>
          <w:rFonts w:ascii="Times New Roman" w:hAnsi="Times New Roman" w:cs="Times New Roman"/>
          <w:szCs w:val="18"/>
        </w:rPr>
        <w:t xml:space="preserve"> SCR at 1243-1244 </w:t>
      </w:r>
      <w:r>
        <w:rPr>
          <w:rFonts w:ascii="Times New Roman" w:hAnsi="Times New Roman" w:cs="Times New Roman"/>
          <w:szCs w:val="18"/>
        </w:rPr>
        <w:t>[emphasis added].</w:t>
      </w:r>
    </w:p>
  </w:footnote>
  <w:footnote w:id="36">
    <w:p w:rsidR="00D41D12" w:rsidRPr="00FE66B6" w:rsidRDefault="00D41D12">
      <w:pPr>
        <w:pStyle w:val="FootnoteText"/>
        <w:rPr>
          <w:rFonts w:ascii="Times New Roman" w:hAnsi="Times New Roman" w:cs="Times New Roman"/>
        </w:rPr>
      </w:pPr>
      <w:r w:rsidRPr="00FE66B6">
        <w:rPr>
          <w:rStyle w:val="FootnoteReference"/>
          <w:rFonts w:ascii="Times New Roman" w:hAnsi="Times New Roman" w:cs="Times New Roman"/>
        </w:rPr>
        <w:footnoteRef/>
      </w:r>
      <w:r w:rsidRPr="00FE66B6">
        <w:rPr>
          <w:rFonts w:ascii="Times New Roman" w:hAnsi="Times New Roman" w:cs="Times New Roman"/>
        </w:rPr>
        <w:t xml:space="preserve"> </w:t>
      </w:r>
      <w:r>
        <w:rPr>
          <w:rFonts w:ascii="Times New Roman" w:hAnsi="Times New Roman" w:cs="Times New Roman"/>
          <w:i/>
        </w:rPr>
        <w:t>Miron v</w:t>
      </w:r>
      <w:r w:rsidRPr="00FE66B6">
        <w:rPr>
          <w:rFonts w:ascii="Times New Roman" w:hAnsi="Times New Roman" w:cs="Times New Roman"/>
          <w:i/>
        </w:rPr>
        <w:t xml:space="preserve"> Trudel,</w:t>
      </w:r>
      <w:r w:rsidRPr="00FE66B6">
        <w:rPr>
          <w:rFonts w:ascii="Times New Roman" w:hAnsi="Times New Roman" w:cs="Times New Roman"/>
        </w:rPr>
        <w:t xml:space="preserve"> [1995] </w:t>
      </w:r>
      <w:proofErr w:type="gramStart"/>
      <w:r w:rsidRPr="00FE66B6">
        <w:rPr>
          <w:rFonts w:ascii="Times New Roman" w:hAnsi="Times New Roman" w:cs="Times New Roman"/>
        </w:rPr>
        <w:t>2</w:t>
      </w:r>
      <w:proofErr w:type="gramEnd"/>
      <w:r w:rsidRPr="00FE66B6">
        <w:rPr>
          <w:rFonts w:ascii="Times New Roman" w:hAnsi="Times New Roman" w:cs="Times New Roman"/>
        </w:rPr>
        <w:t xml:space="preserve"> SCR 418</w:t>
      </w:r>
      <w:r>
        <w:rPr>
          <w:rFonts w:ascii="Times New Roman" w:hAnsi="Times New Roman" w:cs="Times New Roman"/>
        </w:rPr>
        <w:t>.</w:t>
      </w:r>
      <w:r w:rsidRPr="00FE66B6">
        <w:rPr>
          <w:rFonts w:ascii="Times New Roman" w:hAnsi="Times New Roman" w:cs="Times New Roman"/>
        </w:rPr>
        <w:tab/>
      </w:r>
    </w:p>
  </w:footnote>
  <w:footnote w:id="37">
    <w:p w:rsidR="00D41D12" w:rsidRPr="00EB00EB" w:rsidRDefault="00D41D12" w:rsidP="00BC059D">
      <w:pPr>
        <w:pStyle w:val="FootnoteText"/>
        <w:rPr>
          <w:rFonts w:ascii="Times New Roman" w:hAnsi="Times New Roman" w:cs="Times New Roman"/>
          <w:szCs w:val="18"/>
        </w:rPr>
      </w:pPr>
      <w:r w:rsidRPr="00FE66B6">
        <w:rPr>
          <w:rStyle w:val="FootnoteReference"/>
          <w:rFonts w:ascii="Times New Roman" w:hAnsi="Times New Roman" w:cs="Times New Roman"/>
          <w:szCs w:val="18"/>
        </w:rPr>
        <w:footnoteRef/>
      </w:r>
      <w:r w:rsidRPr="00FE66B6">
        <w:rPr>
          <w:rFonts w:ascii="Times New Roman" w:hAnsi="Times New Roman" w:cs="Times New Roman"/>
          <w:szCs w:val="18"/>
        </w:rPr>
        <w:t xml:space="preserve"> See, for example, </w:t>
      </w:r>
      <w:r w:rsidRPr="00FE66B6">
        <w:rPr>
          <w:rFonts w:ascii="Times New Roman" w:hAnsi="Times New Roman" w:cs="Times New Roman"/>
          <w:i/>
          <w:szCs w:val="18"/>
        </w:rPr>
        <w:t>Eldridge v British Columbia (Attorney General),</w:t>
      </w:r>
      <w:r w:rsidRPr="00FE66B6">
        <w:rPr>
          <w:rFonts w:ascii="Times New Roman" w:hAnsi="Times New Roman" w:cs="Times New Roman"/>
          <w:szCs w:val="18"/>
        </w:rPr>
        <w:t xml:space="preserve"> </w:t>
      </w:r>
      <w:r>
        <w:rPr>
          <w:rFonts w:ascii="Times New Roman" w:hAnsi="Times New Roman" w:cs="Times New Roman"/>
          <w:szCs w:val="18"/>
        </w:rPr>
        <w:t>[</w:t>
      </w:r>
      <w:r w:rsidRPr="00FE66B6">
        <w:rPr>
          <w:rFonts w:ascii="Times New Roman" w:hAnsi="Times New Roman" w:cs="Times New Roman"/>
          <w:szCs w:val="18"/>
        </w:rPr>
        <w:t>1997</w:t>
      </w:r>
      <w:r>
        <w:rPr>
          <w:rFonts w:ascii="Times New Roman" w:hAnsi="Times New Roman" w:cs="Times New Roman"/>
          <w:szCs w:val="18"/>
        </w:rPr>
        <w:t>]</w:t>
      </w:r>
      <w:r w:rsidRPr="00EB00EB">
        <w:rPr>
          <w:rFonts w:ascii="Times New Roman" w:hAnsi="Times New Roman" w:cs="Times New Roman"/>
          <w:szCs w:val="18"/>
        </w:rPr>
        <w:t xml:space="preserve"> 3 SCR 624</w:t>
      </w:r>
      <w:r>
        <w:rPr>
          <w:rFonts w:ascii="Times New Roman" w:hAnsi="Times New Roman" w:cs="Times New Roman"/>
          <w:szCs w:val="18"/>
        </w:rPr>
        <w:t xml:space="preserve">, where the </w:t>
      </w:r>
      <w:r w:rsidRPr="00C86FAA">
        <w:rPr>
          <w:rFonts w:ascii="Times New Roman" w:hAnsi="Times New Roman" w:cs="Times New Roman"/>
          <w:szCs w:val="18"/>
        </w:rPr>
        <w:t>Supreme Court recognized that the government’s failure to fund sign language interpretation for medical services violated s. 15(1) even though the impugned law and program treated everyone the same, because in effect, it denied deaf people equal access to medical care</w:t>
      </w:r>
      <w:r>
        <w:rPr>
          <w:rFonts w:ascii="Times New Roman" w:hAnsi="Times New Roman" w:cs="Times New Roman"/>
          <w:szCs w:val="18"/>
        </w:rPr>
        <w:t>.</w:t>
      </w:r>
      <w:r w:rsidRPr="00EB00EB">
        <w:rPr>
          <w:rFonts w:ascii="Times New Roman" w:hAnsi="Times New Roman" w:cs="Times New Roman"/>
          <w:szCs w:val="18"/>
        </w:rPr>
        <w:t xml:space="preserve"> See also </w:t>
      </w:r>
      <w:r w:rsidRPr="00EB00EB">
        <w:rPr>
          <w:rFonts w:ascii="Times New Roman" w:hAnsi="Times New Roman" w:cs="Times New Roman"/>
          <w:i/>
          <w:szCs w:val="18"/>
        </w:rPr>
        <w:t>British Columbia (Public Service Employee Relations Commission) v BCGSEU,</w:t>
      </w:r>
      <w:r>
        <w:rPr>
          <w:rFonts w:ascii="Times New Roman" w:hAnsi="Times New Roman" w:cs="Times New Roman"/>
          <w:szCs w:val="18"/>
        </w:rPr>
        <w:t xml:space="preserve"> [1999] 3 SCR 3,</w:t>
      </w:r>
      <w:r w:rsidRPr="00EB00EB">
        <w:rPr>
          <w:rFonts w:ascii="Times New Roman" w:hAnsi="Times New Roman" w:cs="Times New Roman"/>
          <w:szCs w:val="18"/>
        </w:rPr>
        <w:t xml:space="preserve"> where the Supreme Court similarly held that a facially “neutral” fitness requirement for fire fighters in fact imposed a disproportionate burden on women, and therefore discriminated on the basis of sex. Although this case dealt with discrimination under human rights legislation, like other human rights cases, this </w:t>
      </w:r>
      <w:proofErr w:type="gramStart"/>
      <w:r w:rsidRPr="00EB00EB">
        <w:rPr>
          <w:rFonts w:ascii="Times New Roman" w:hAnsi="Times New Roman" w:cs="Times New Roman"/>
          <w:szCs w:val="18"/>
        </w:rPr>
        <w:t>has been treated</w:t>
      </w:r>
      <w:proofErr w:type="gramEnd"/>
      <w:r w:rsidRPr="00EB00EB">
        <w:rPr>
          <w:rFonts w:ascii="Times New Roman" w:hAnsi="Times New Roman" w:cs="Times New Roman"/>
          <w:szCs w:val="18"/>
        </w:rPr>
        <w:t xml:space="preserve"> as an applicable authority under s. 15(1) of the </w:t>
      </w:r>
      <w:r w:rsidRPr="00EB00EB">
        <w:rPr>
          <w:rFonts w:ascii="Times New Roman" w:hAnsi="Times New Roman" w:cs="Times New Roman"/>
          <w:i/>
          <w:szCs w:val="18"/>
        </w:rPr>
        <w:t xml:space="preserve">Charter. Andrews, supra </w:t>
      </w:r>
      <w:r w:rsidRPr="00EB00EB">
        <w:rPr>
          <w:rFonts w:ascii="Times New Roman" w:hAnsi="Times New Roman" w:cs="Times New Roman"/>
          <w:szCs w:val="18"/>
        </w:rPr>
        <w:t>note 2</w:t>
      </w:r>
      <w:r>
        <w:rPr>
          <w:rFonts w:ascii="Times New Roman" w:hAnsi="Times New Roman" w:cs="Times New Roman"/>
          <w:szCs w:val="18"/>
        </w:rPr>
        <w:t xml:space="preserve">2 </w:t>
      </w:r>
      <w:r w:rsidRPr="00EB00EB">
        <w:rPr>
          <w:rFonts w:ascii="Times New Roman" w:hAnsi="Times New Roman" w:cs="Times New Roman"/>
          <w:szCs w:val="18"/>
        </w:rPr>
        <w:t xml:space="preserve">at 172-174. See also: </w:t>
      </w:r>
      <w:r w:rsidRPr="00EB00EB">
        <w:rPr>
          <w:rFonts w:ascii="Times New Roman" w:hAnsi="Times New Roman" w:cs="Times New Roman"/>
          <w:i/>
          <w:szCs w:val="18"/>
        </w:rPr>
        <w:t xml:space="preserve">Taypotat, supra </w:t>
      </w:r>
      <w:r w:rsidRPr="00EB00EB">
        <w:rPr>
          <w:rFonts w:ascii="Times New Roman" w:hAnsi="Times New Roman" w:cs="Times New Roman"/>
          <w:szCs w:val="18"/>
        </w:rPr>
        <w:t xml:space="preserve">note </w:t>
      </w:r>
      <w:proofErr w:type="gramStart"/>
      <w:r w:rsidRPr="00EB00EB">
        <w:rPr>
          <w:rFonts w:ascii="Times New Roman" w:hAnsi="Times New Roman" w:cs="Times New Roman"/>
          <w:szCs w:val="18"/>
        </w:rPr>
        <w:t>2</w:t>
      </w:r>
      <w:proofErr w:type="gramEnd"/>
      <w:r w:rsidRPr="00EB00EB">
        <w:rPr>
          <w:rFonts w:ascii="Times New Roman" w:hAnsi="Times New Roman" w:cs="Times New Roman"/>
          <w:i/>
          <w:szCs w:val="18"/>
        </w:rPr>
        <w:t xml:space="preserve"> </w:t>
      </w:r>
      <w:r w:rsidRPr="00EB00EB">
        <w:rPr>
          <w:rFonts w:ascii="Times New Roman" w:hAnsi="Times New Roman" w:cs="Times New Roman"/>
          <w:szCs w:val="18"/>
        </w:rPr>
        <w:t>at para 23.</w:t>
      </w:r>
    </w:p>
  </w:footnote>
  <w:footnote w:id="38">
    <w:p w:rsidR="00D41D12" w:rsidRPr="00EE26E4" w:rsidRDefault="00D41D12">
      <w:pPr>
        <w:pStyle w:val="FootnoteText"/>
        <w:rPr>
          <w:rFonts w:ascii="Times New Roman" w:hAnsi="Times New Roman" w:cs="Times New Roman"/>
          <w:szCs w:val="18"/>
        </w:rPr>
      </w:pPr>
      <w:r w:rsidRPr="00EB00EB">
        <w:rPr>
          <w:rStyle w:val="FootnoteReference"/>
          <w:rFonts w:ascii="Times New Roman" w:hAnsi="Times New Roman" w:cs="Times New Roman"/>
          <w:szCs w:val="18"/>
        </w:rPr>
        <w:footnoteRef/>
      </w:r>
      <w:r w:rsidRPr="00EB00EB">
        <w:rPr>
          <w:rFonts w:ascii="Times New Roman" w:hAnsi="Times New Roman" w:cs="Times New Roman"/>
          <w:szCs w:val="18"/>
        </w:rPr>
        <w:t xml:space="preserve"> </w:t>
      </w:r>
      <w:r w:rsidRPr="00EB00EB">
        <w:rPr>
          <w:rFonts w:ascii="Times New Roman" w:hAnsi="Times New Roman" w:cs="Times New Roman"/>
          <w:i/>
          <w:szCs w:val="18"/>
        </w:rPr>
        <w:t>Taypotat, supra</w:t>
      </w:r>
      <w:r w:rsidRPr="00EB00EB">
        <w:rPr>
          <w:rFonts w:ascii="Times New Roman" w:hAnsi="Times New Roman" w:cs="Times New Roman"/>
          <w:szCs w:val="18"/>
        </w:rPr>
        <w:t xml:space="preserve"> note </w:t>
      </w:r>
      <w:proofErr w:type="gramStart"/>
      <w:r w:rsidRPr="00EB00EB">
        <w:rPr>
          <w:rFonts w:ascii="Times New Roman" w:hAnsi="Times New Roman" w:cs="Times New Roman"/>
          <w:szCs w:val="18"/>
        </w:rPr>
        <w:t>2</w:t>
      </w:r>
      <w:proofErr w:type="gramEnd"/>
      <w:r w:rsidRPr="00EB00EB">
        <w:rPr>
          <w:rFonts w:ascii="Times New Roman" w:hAnsi="Times New Roman" w:cs="Times New Roman"/>
          <w:i/>
          <w:szCs w:val="18"/>
        </w:rPr>
        <w:t xml:space="preserve"> </w:t>
      </w:r>
      <w:r w:rsidRPr="00EB00EB">
        <w:rPr>
          <w:rFonts w:ascii="Times New Roman" w:hAnsi="Times New Roman" w:cs="Times New Roman"/>
          <w:szCs w:val="18"/>
        </w:rPr>
        <w:t>at para 20.</w:t>
      </w:r>
      <w:r w:rsidRPr="00EE26E4">
        <w:rPr>
          <w:rFonts w:ascii="Times New Roman" w:hAnsi="Times New Roman" w:cs="Times New Roman"/>
          <w:szCs w:val="18"/>
        </w:rPr>
        <w:t xml:space="preserve"> </w:t>
      </w:r>
    </w:p>
  </w:footnote>
  <w:footnote w:id="39">
    <w:p w:rsidR="00D41D12" w:rsidRPr="00EE26E4" w:rsidRDefault="00D41D12" w:rsidP="00FD145D">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Withler</w:t>
      </w:r>
      <w:r w:rsidRPr="00EE26E4">
        <w:rPr>
          <w:rFonts w:ascii="Times New Roman" w:hAnsi="Times New Roman" w:cs="Times New Roman"/>
          <w:szCs w:val="18"/>
        </w:rPr>
        <w:t>,</w:t>
      </w:r>
      <w:r w:rsidRPr="00EE26E4">
        <w:rPr>
          <w:rFonts w:ascii="Times New Roman" w:hAnsi="Times New Roman" w:cs="Times New Roman"/>
          <w:i/>
          <w:szCs w:val="18"/>
        </w:rPr>
        <w:t xml:space="preserve"> supra </w:t>
      </w:r>
      <w:r w:rsidRPr="00EE26E4">
        <w:rPr>
          <w:rFonts w:ascii="Times New Roman" w:hAnsi="Times New Roman" w:cs="Times New Roman"/>
          <w:szCs w:val="18"/>
        </w:rPr>
        <w:t>note</w:t>
      </w:r>
      <w:r>
        <w:rPr>
          <w:rFonts w:ascii="Times New Roman" w:hAnsi="Times New Roman" w:cs="Times New Roman"/>
          <w:szCs w:val="18"/>
        </w:rPr>
        <w:t xml:space="preserve"> 22 at paras 2, 37, </w:t>
      </w:r>
      <w:r w:rsidRPr="00EE26E4">
        <w:rPr>
          <w:rFonts w:ascii="Times New Roman" w:hAnsi="Times New Roman" w:cs="Times New Roman"/>
          <w:szCs w:val="18"/>
        </w:rPr>
        <w:t>39.</w:t>
      </w:r>
    </w:p>
  </w:footnote>
  <w:footnote w:id="40">
    <w:p w:rsidR="00D41D12" w:rsidRPr="00EE26E4" w:rsidRDefault="00D41D12" w:rsidP="00FD145D">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Ibid</w:t>
      </w:r>
      <w:r w:rsidRPr="00EE26E4">
        <w:rPr>
          <w:rFonts w:ascii="Times New Roman" w:hAnsi="Times New Roman" w:cs="Times New Roman"/>
          <w:szCs w:val="18"/>
        </w:rPr>
        <w:t xml:space="preserve"> at para 37.</w:t>
      </w:r>
    </w:p>
  </w:footnote>
  <w:footnote w:id="41">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Quebec v </w:t>
      </w:r>
      <w:r w:rsidRPr="00EE26E4">
        <w:rPr>
          <w:rFonts w:ascii="Times New Roman" w:hAnsi="Times New Roman" w:cs="Times New Roman"/>
          <w:i/>
          <w:szCs w:val="18"/>
        </w:rPr>
        <w:t>A</w:t>
      </w:r>
      <w:r>
        <w:rPr>
          <w:rFonts w:ascii="Times New Roman" w:hAnsi="Times New Roman" w:cs="Times New Roman"/>
          <w:i/>
          <w:szCs w:val="18"/>
        </w:rPr>
        <w:t xml:space="preserve">, supra </w:t>
      </w:r>
      <w:r>
        <w:rPr>
          <w:rFonts w:ascii="Times New Roman" w:hAnsi="Times New Roman" w:cs="Times New Roman"/>
          <w:szCs w:val="18"/>
        </w:rPr>
        <w:t>note 19</w:t>
      </w:r>
      <w:r w:rsidRPr="00EE26E4">
        <w:rPr>
          <w:rFonts w:ascii="Times New Roman" w:hAnsi="Times New Roman" w:cs="Times New Roman"/>
          <w:i/>
          <w:szCs w:val="18"/>
        </w:rPr>
        <w:t xml:space="preserve"> </w:t>
      </w:r>
      <w:r w:rsidRPr="00EE26E4">
        <w:rPr>
          <w:rFonts w:ascii="Times New Roman" w:hAnsi="Times New Roman" w:cs="Times New Roman"/>
          <w:szCs w:val="18"/>
        </w:rPr>
        <w:t>at para 332</w:t>
      </w:r>
      <w:r>
        <w:rPr>
          <w:rFonts w:ascii="Times New Roman" w:hAnsi="Times New Roman" w:cs="Times New Roman"/>
          <w:szCs w:val="18"/>
        </w:rPr>
        <w:t>, per Abella J for the majority on the scope and application of s. 15(1);</w:t>
      </w:r>
      <w:r w:rsidRPr="004F0A2C">
        <w:rPr>
          <w:rFonts w:ascii="Times New Roman" w:hAnsi="Times New Roman" w:cs="Times New Roman"/>
          <w:i/>
          <w:szCs w:val="18"/>
        </w:rPr>
        <w:t xml:space="preserve"> </w:t>
      </w:r>
      <w:proofErr w:type="gramStart"/>
      <w:r w:rsidRPr="004F0A2C">
        <w:rPr>
          <w:rFonts w:ascii="Times New Roman" w:hAnsi="Times New Roman" w:cs="Times New Roman"/>
          <w:i/>
          <w:szCs w:val="18"/>
        </w:rPr>
        <w:t>Tay</w:t>
      </w:r>
      <w:r>
        <w:rPr>
          <w:rFonts w:ascii="Times New Roman" w:hAnsi="Times New Roman" w:cs="Times New Roman"/>
          <w:i/>
          <w:szCs w:val="18"/>
        </w:rPr>
        <w:t>p</w:t>
      </w:r>
      <w:r w:rsidRPr="004F0A2C">
        <w:rPr>
          <w:rFonts w:ascii="Times New Roman" w:hAnsi="Times New Roman" w:cs="Times New Roman"/>
          <w:i/>
          <w:szCs w:val="18"/>
        </w:rPr>
        <w:t>otat</w:t>
      </w:r>
      <w:r w:rsidRPr="00EE26E4">
        <w:rPr>
          <w:rFonts w:ascii="Times New Roman" w:hAnsi="Times New Roman" w:cs="Times New Roman"/>
          <w:szCs w:val="18"/>
        </w:rPr>
        <w:t xml:space="preserve"> </w:t>
      </w:r>
      <w:r>
        <w:rPr>
          <w:rFonts w:ascii="Times New Roman" w:hAnsi="Times New Roman" w:cs="Times New Roman"/>
          <w:szCs w:val="18"/>
        </w:rPr>
        <w:t>,</w:t>
      </w:r>
      <w:proofErr w:type="gramEnd"/>
      <w:r>
        <w:rPr>
          <w:rFonts w:ascii="Times New Roman" w:hAnsi="Times New Roman" w:cs="Times New Roman"/>
          <w:szCs w:val="18"/>
        </w:rPr>
        <w:t xml:space="preserve"> supra note 2 </w:t>
      </w:r>
      <w:r w:rsidRPr="00EE26E4">
        <w:rPr>
          <w:rFonts w:ascii="Times New Roman" w:hAnsi="Times New Roman" w:cs="Times New Roman"/>
          <w:szCs w:val="18"/>
        </w:rPr>
        <w:t>at para 20.</w:t>
      </w:r>
    </w:p>
  </w:footnote>
  <w:footnote w:id="42">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Sopinka, Lederman, Bryant. </w:t>
      </w:r>
      <w:r w:rsidRPr="00EE26E4">
        <w:rPr>
          <w:rFonts w:ascii="Times New Roman" w:hAnsi="Times New Roman" w:cs="Times New Roman"/>
          <w:i/>
          <w:szCs w:val="18"/>
        </w:rPr>
        <w:t>The Law of Evidence in Canada</w:t>
      </w:r>
      <w:r>
        <w:rPr>
          <w:rFonts w:ascii="Times New Roman" w:hAnsi="Times New Roman" w:cs="Times New Roman"/>
          <w:szCs w:val="18"/>
        </w:rPr>
        <w:t xml:space="preserve">, </w:t>
      </w:r>
      <w:r w:rsidRPr="00EE26E4">
        <w:rPr>
          <w:rFonts w:ascii="Times New Roman" w:hAnsi="Times New Roman" w:cs="Times New Roman"/>
          <w:szCs w:val="18"/>
        </w:rPr>
        <w:t>2</w:t>
      </w:r>
      <w:r w:rsidRPr="00EE26E4">
        <w:rPr>
          <w:rFonts w:ascii="Times New Roman" w:hAnsi="Times New Roman" w:cs="Times New Roman"/>
          <w:szCs w:val="18"/>
          <w:vertAlign w:val="superscript"/>
        </w:rPr>
        <w:t>nd</w:t>
      </w:r>
      <w:r>
        <w:rPr>
          <w:rFonts w:ascii="Times New Roman" w:hAnsi="Times New Roman" w:cs="Times New Roman"/>
          <w:szCs w:val="18"/>
        </w:rPr>
        <w:t xml:space="preserve"> Ed</w:t>
      </w:r>
      <w:r w:rsidRPr="00EE26E4">
        <w:rPr>
          <w:rFonts w:ascii="Times New Roman" w:hAnsi="Times New Roman" w:cs="Times New Roman"/>
          <w:szCs w:val="18"/>
        </w:rPr>
        <w:t xml:space="preserve">, (Markham: LexisNexis, 1999) at 1055; See </w:t>
      </w:r>
      <w:r w:rsidRPr="00EE26E4">
        <w:rPr>
          <w:rFonts w:ascii="Times New Roman" w:hAnsi="Times New Roman" w:cs="Times New Roman"/>
          <w:i/>
          <w:szCs w:val="18"/>
        </w:rPr>
        <w:t>R v Edward Books</w:t>
      </w:r>
      <w:r w:rsidRPr="00EE26E4">
        <w:rPr>
          <w:rFonts w:ascii="Times New Roman" w:hAnsi="Times New Roman" w:cs="Times New Roman"/>
          <w:szCs w:val="18"/>
        </w:rPr>
        <w:t xml:space="preserve">, [1986] </w:t>
      </w:r>
      <w:proofErr w:type="gramStart"/>
      <w:r w:rsidRPr="00EE26E4">
        <w:rPr>
          <w:rFonts w:ascii="Times New Roman" w:hAnsi="Times New Roman" w:cs="Times New Roman"/>
          <w:szCs w:val="18"/>
        </w:rPr>
        <w:t>2</w:t>
      </w:r>
      <w:proofErr w:type="gramEnd"/>
      <w:r w:rsidRPr="00EE26E4">
        <w:rPr>
          <w:rFonts w:ascii="Times New Roman" w:hAnsi="Times New Roman" w:cs="Times New Roman"/>
          <w:szCs w:val="18"/>
        </w:rPr>
        <w:t xml:space="preserve"> SCR 173 </w:t>
      </w:r>
      <w:r>
        <w:rPr>
          <w:rFonts w:ascii="Times New Roman" w:hAnsi="Times New Roman" w:cs="Times New Roman"/>
          <w:szCs w:val="18"/>
        </w:rPr>
        <w:t xml:space="preserve">at </w:t>
      </w:r>
      <w:r w:rsidRPr="00EE26E4">
        <w:rPr>
          <w:rFonts w:ascii="Times New Roman" w:hAnsi="Times New Roman" w:cs="Times New Roman"/>
          <w:szCs w:val="18"/>
        </w:rPr>
        <w:t>para 195</w:t>
      </w:r>
      <w:r>
        <w:rPr>
          <w:rFonts w:ascii="Times New Roman" w:hAnsi="Times New Roman" w:cs="Times New Roman"/>
          <w:szCs w:val="18"/>
        </w:rPr>
        <w:t>.</w:t>
      </w:r>
    </w:p>
  </w:footnote>
  <w:footnote w:id="43">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szCs w:val="18"/>
        </w:rPr>
        <w:t xml:space="preserve">The Supreme Court has taken judicial notice of census data in a number of </w:t>
      </w:r>
      <w:r>
        <w:rPr>
          <w:rFonts w:ascii="Times New Roman" w:hAnsi="Times New Roman" w:cs="Times New Roman"/>
          <w:i/>
          <w:szCs w:val="18"/>
        </w:rPr>
        <w:t xml:space="preserve">Charter </w:t>
      </w:r>
      <w:r>
        <w:rPr>
          <w:rFonts w:ascii="Times New Roman" w:hAnsi="Times New Roman" w:cs="Times New Roman"/>
          <w:szCs w:val="18"/>
        </w:rPr>
        <w:t xml:space="preserve">cases, including </w:t>
      </w:r>
      <w:r w:rsidRPr="00EE26E4">
        <w:rPr>
          <w:rFonts w:ascii="Times New Roman" w:hAnsi="Times New Roman" w:cs="Times New Roman"/>
          <w:i/>
          <w:szCs w:val="18"/>
        </w:rPr>
        <w:t>M v H,</w:t>
      </w:r>
      <w:r w:rsidRPr="00EE26E4">
        <w:rPr>
          <w:rFonts w:ascii="Times New Roman" w:hAnsi="Times New Roman" w:cs="Times New Roman"/>
          <w:szCs w:val="18"/>
        </w:rPr>
        <w:t xml:space="preserve"> [1999] </w:t>
      </w:r>
      <w:proofErr w:type="gramStart"/>
      <w:r w:rsidRPr="00EE26E4">
        <w:rPr>
          <w:rFonts w:ascii="Times New Roman" w:hAnsi="Times New Roman" w:cs="Times New Roman"/>
          <w:szCs w:val="18"/>
        </w:rPr>
        <w:t>2</w:t>
      </w:r>
      <w:proofErr w:type="gramEnd"/>
      <w:r w:rsidRPr="00EE26E4">
        <w:rPr>
          <w:rFonts w:ascii="Times New Roman" w:hAnsi="Times New Roman" w:cs="Times New Roman"/>
          <w:szCs w:val="18"/>
        </w:rPr>
        <w:t xml:space="preserve"> SCR 3 at para 353; </w:t>
      </w:r>
      <w:r w:rsidRPr="00EE26E4">
        <w:rPr>
          <w:rFonts w:ascii="Times New Roman" w:hAnsi="Times New Roman" w:cs="Times New Roman"/>
          <w:i/>
          <w:szCs w:val="18"/>
        </w:rPr>
        <w:t>Quebec v A</w:t>
      </w:r>
      <w:r w:rsidRPr="00EE26E4">
        <w:rPr>
          <w:rFonts w:ascii="Times New Roman" w:hAnsi="Times New Roman" w:cs="Times New Roman"/>
          <w:szCs w:val="18"/>
        </w:rPr>
        <w:t xml:space="preserve">, </w:t>
      </w:r>
      <w:r w:rsidRPr="00EE26E4">
        <w:rPr>
          <w:rFonts w:ascii="Times New Roman" w:hAnsi="Times New Roman" w:cs="Times New Roman"/>
          <w:i/>
          <w:szCs w:val="18"/>
        </w:rPr>
        <w:t>supra</w:t>
      </w:r>
      <w:r w:rsidRPr="00EE26E4">
        <w:rPr>
          <w:rFonts w:ascii="Times New Roman" w:hAnsi="Times New Roman" w:cs="Times New Roman"/>
          <w:szCs w:val="18"/>
        </w:rPr>
        <w:t xml:space="preserve"> </w:t>
      </w:r>
      <w:r>
        <w:rPr>
          <w:rFonts w:ascii="Times New Roman" w:hAnsi="Times New Roman" w:cs="Times New Roman"/>
          <w:szCs w:val="18"/>
        </w:rPr>
        <w:t>note 19</w:t>
      </w:r>
      <w:r w:rsidRPr="00EE26E4">
        <w:rPr>
          <w:rFonts w:ascii="Times New Roman" w:hAnsi="Times New Roman" w:cs="Times New Roman"/>
          <w:szCs w:val="18"/>
        </w:rPr>
        <w:t xml:space="preserve"> at paras 125, 237-239, 249, per Lebel J. </w:t>
      </w:r>
    </w:p>
  </w:footnote>
  <w:footnote w:id="44">
    <w:p w:rsidR="00D41D12" w:rsidRPr="00EE26E4" w:rsidRDefault="00D41D12" w:rsidP="003A0B34">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Pr>
          <w:rFonts w:ascii="Times New Roman" w:hAnsi="Times New Roman" w:cs="Times New Roman"/>
          <w:i/>
          <w:szCs w:val="18"/>
        </w:rPr>
        <w:t xml:space="preserve">R v </w:t>
      </w:r>
      <w:r w:rsidRPr="00EE26E4">
        <w:rPr>
          <w:rFonts w:ascii="Times New Roman" w:hAnsi="Times New Roman" w:cs="Times New Roman"/>
          <w:i/>
          <w:szCs w:val="18"/>
        </w:rPr>
        <w:t>Gladue,</w:t>
      </w:r>
      <w:r w:rsidRPr="00EE26E4">
        <w:rPr>
          <w:rFonts w:ascii="Times New Roman" w:hAnsi="Times New Roman" w:cs="Times New Roman"/>
          <w:szCs w:val="18"/>
        </w:rPr>
        <w:t xml:space="preserve"> [1999] </w:t>
      </w:r>
      <w:proofErr w:type="gramStart"/>
      <w:r w:rsidRPr="00EE26E4">
        <w:rPr>
          <w:rFonts w:ascii="Times New Roman" w:hAnsi="Times New Roman" w:cs="Times New Roman"/>
          <w:szCs w:val="18"/>
        </w:rPr>
        <w:t>1</w:t>
      </w:r>
      <w:proofErr w:type="gramEnd"/>
      <w:r w:rsidRPr="00EE26E4">
        <w:rPr>
          <w:rFonts w:ascii="Times New Roman" w:hAnsi="Times New Roman" w:cs="Times New Roman"/>
          <w:szCs w:val="18"/>
        </w:rPr>
        <w:t xml:space="preserve"> SCR 688 at para 83.</w:t>
      </w:r>
    </w:p>
  </w:footnote>
  <w:footnote w:id="45">
    <w:p w:rsidR="00D41D12" w:rsidRPr="00EE26E4" w:rsidRDefault="00D41D12" w:rsidP="00F32277">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Pr>
          <w:rFonts w:ascii="Times New Roman" w:hAnsi="Times New Roman" w:cs="Times New Roman"/>
          <w:szCs w:val="18"/>
        </w:rPr>
        <w:t xml:space="preserve"> </w:t>
      </w:r>
      <w:r w:rsidRPr="00F32277">
        <w:rPr>
          <w:rFonts w:ascii="Times New Roman" w:hAnsi="Times New Roman" w:cs="Times New Roman"/>
          <w:szCs w:val="18"/>
        </w:rPr>
        <w:t>UN Committee on the Elimination of Discrimination against Women (CEDAW</w:t>
      </w:r>
      <w:r w:rsidRPr="00F32277">
        <w:rPr>
          <w:rFonts w:ascii="Times New Roman" w:hAnsi="Times New Roman" w:cs="Times New Roman"/>
          <w:i/>
          <w:szCs w:val="18"/>
        </w:rPr>
        <w:t>), Report of the inquiry concerning Canada of the Committee on the Elimination of Discrimination against Women under article 8 of the Optional Protocol to the Convention on the Elimination of All Forms of Discrimination against Women</w:t>
      </w:r>
      <w:r w:rsidRPr="00F32277">
        <w:rPr>
          <w:rFonts w:ascii="Times New Roman" w:hAnsi="Times New Roman" w:cs="Times New Roman"/>
          <w:szCs w:val="18"/>
        </w:rPr>
        <w:t>, CED</w:t>
      </w:r>
      <w:r>
        <w:rPr>
          <w:rFonts w:ascii="Times New Roman" w:hAnsi="Times New Roman" w:cs="Times New Roman"/>
          <w:szCs w:val="18"/>
        </w:rPr>
        <w:t xml:space="preserve">AW/C/OP.8/CAN/1 (30 March 2015); </w:t>
      </w:r>
      <w:r w:rsidRPr="00F32277">
        <w:rPr>
          <w:rFonts w:ascii="Times New Roman" w:hAnsi="Times New Roman" w:cs="Times New Roman"/>
          <w:szCs w:val="18"/>
        </w:rPr>
        <w:t xml:space="preserve">United Nations General Assembly, Human Rights Council, </w:t>
      </w:r>
      <w:r w:rsidRPr="00F32277">
        <w:rPr>
          <w:rFonts w:ascii="Times New Roman" w:hAnsi="Times New Roman" w:cs="Times New Roman"/>
          <w:i/>
          <w:szCs w:val="18"/>
        </w:rPr>
        <w:t>Report of the Special Rapporteur on the rights of Indigenous Peoples, Victoria Trauli,</w:t>
      </w:r>
      <w:r w:rsidRPr="00F32277">
        <w:rPr>
          <w:rFonts w:ascii="Times New Roman" w:hAnsi="Times New Roman" w:cs="Times New Roman"/>
          <w:szCs w:val="18"/>
        </w:rPr>
        <w:t xml:space="preserve"> UNHCR, 30th Session, Agenda Item 3 A/HRC/30/41 (6 August 2015)</w:t>
      </w:r>
    </w:p>
  </w:footnote>
  <w:footnote w:id="46">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Mann</w:t>
      </w:r>
      <w:r>
        <w:rPr>
          <w:rFonts w:ascii="Times New Roman" w:hAnsi="Times New Roman" w:cs="Times New Roman"/>
          <w:szCs w:val="18"/>
        </w:rPr>
        <w:t xml:space="preserve">, </w:t>
      </w:r>
      <w:r>
        <w:rPr>
          <w:rFonts w:ascii="Times New Roman" w:hAnsi="Times New Roman" w:cs="Times New Roman"/>
          <w:i/>
          <w:szCs w:val="18"/>
        </w:rPr>
        <w:t xml:space="preserve">supra </w:t>
      </w:r>
      <w:r>
        <w:rPr>
          <w:rFonts w:ascii="Times New Roman" w:hAnsi="Times New Roman" w:cs="Times New Roman"/>
          <w:szCs w:val="18"/>
        </w:rPr>
        <w:t xml:space="preserve">note 16 at </w:t>
      </w:r>
      <w:proofErr w:type="gramStart"/>
      <w:r w:rsidRPr="00EE26E4">
        <w:rPr>
          <w:rFonts w:ascii="Times New Roman" w:hAnsi="Times New Roman" w:cs="Times New Roman"/>
          <w:szCs w:val="18"/>
        </w:rPr>
        <w:t>8</w:t>
      </w:r>
      <w:proofErr w:type="gramEnd"/>
      <w:r w:rsidRPr="00EE26E4">
        <w:rPr>
          <w:rFonts w:ascii="Times New Roman" w:hAnsi="Times New Roman" w:cs="Times New Roman"/>
          <w:szCs w:val="18"/>
        </w:rPr>
        <w:t>.</w:t>
      </w:r>
    </w:p>
  </w:footnote>
  <w:footnote w:id="47">
    <w:p w:rsidR="00D41D12" w:rsidRPr="00EE26E4" w:rsidRDefault="00D41D12" w:rsidP="00A74D9B">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3E59CA">
        <w:rPr>
          <w:rFonts w:ascii="Times New Roman" w:hAnsi="Times New Roman" w:cs="Times New Roman"/>
          <w:szCs w:val="18"/>
        </w:rPr>
        <w:t>The disparity</w:t>
      </w:r>
      <w:r>
        <w:rPr>
          <w:rFonts w:ascii="Times New Roman" w:hAnsi="Times New Roman" w:cs="Times New Roman"/>
          <w:szCs w:val="18"/>
        </w:rPr>
        <w:t xml:space="preserve"> between families headed by Indigenous women and those headed by Indigenous men</w:t>
      </w:r>
      <w:r w:rsidRPr="003E59CA">
        <w:rPr>
          <w:rFonts w:ascii="Times New Roman" w:hAnsi="Times New Roman" w:cs="Times New Roman"/>
          <w:szCs w:val="18"/>
        </w:rPr>
        <w:t xml:space="preserve"> is greater on reserve than off.</w:t>
      </w:r>
      <w:r>
        <w:rPr>
          <w:rFonts w:ascii="Times New Roman" w:hAnsi="Times New Roman" w:cs="Times New Roman"/>
          <w:sz w:val="24"/>
          <w:szCs w:val="24"/>
        </w:rPr>
        <w:t xml:space="preserve"> </w:t>
      </w:r>
      <w:r w:rsidRPr="00464E8B">
        <w:rPr>
          <w:rFonts w:ascii="Times New Roman" w:hAnsi="Times New Roman" w:cs="Times New Roman"/>
          <w:szCs w:val="18"/>
          <w:lang w:val="en"/>
        </w:rPr>
        <w:t>Aboriginal Affairs and Northern Development Canada</w:t>
      </w:r>
      <w:proofErr w:type="gramStart"/>
      <w:r w:rsidRPr="00464E8B">
        <w:rPr>
          <w:rFonts w:ascii="Times New Roman" w:hAnsi="Times New Roman" w:cs="Times New Roman"/>
          <w:szCs w:val="18"/>
          <w:lang w:val="en"/>
        </w:rPr>
        <w:t>,</w:t>
      </w:r>
      <w:r w:rsidRPr="00464E8B">
        <w:rPr>
          <w:rFonts w:ascii="Times New Roman" w:hAnsi="Times New Roman" w:cs="Times New Roman"/>
          <w:i/>
          <w:szCs w:val="18"/>
          <w:lang w:val="en"/>
        </w:rPr>
        <w:t xml:space="preserve">  Aboriginal</w:t>
      </w:r>
      <w:proofErr w:type="gramEnd"/>
      <w:r w:rsidRPr="00464E8B">
        <w:rPr>
          <w:rFonts w:ascii="Times New Roman" w:hAnsi="Times New Roman" w:cs="Times New Roman"/>
          <w:i/>
          <w:szCs w:val="18"/>
          <w:lang w:val="en"/>
        </w:rPr>
        <w:t xml:space="preserve"> Women in Canada: A Statistical Profile from the 2006 Census, </w:t>
      </w:r>
      <w:r w:rsidRPr="00464E8B">
        <w:rPr>
          <w:rFonts w:ascii="Times New Roman" w:hAnsi="Times New Roman" w:cs="Times New Roman"/>
          <w:szCs w:val="18"/>
          <w:lang w:val="en"/>
        </w:rPr>
        <w:t>(Ottawa: Aboriginal Affairs and Nor</w:t>
      </w:r>
      <w:r>
        <w:rPr>
          <w:rFonts w:ascii="Times New Roman" w:hAnsi="Times New Roman" w:cs="Times New Roman"/>
          <w:szCs w:val="18"/>
          <w:lang w:val="en"/>
        </w:rPr>
        <w:t xml:space="preserve">thern Development Canada, 2012) at </w:t>
      </w:r>
      <w:r w:rsidRPr="00EE26E4">
        <w:rPr>
          <w:rFonts w:ascii="Times New Roman" w:hAnsi="Times New Roman" w:cs="Times New Roman"/>
          <w:szCs w:val="18"/>
          <w:lang w:val="en"/>
        </w:rPr>
        <w:t>Table 12.</w:t>
      </w:r>
      <w:r>
        <w:rPr>
          <w:rFonts w:ascii="Times New Roman" w:hAnsi="Times New Roman" w:cs="Times New Roman"/>
          <w:szCs w:val="18"/>
        </w:rPr>
        <w:t xml:space="preserve"> </w:t>
      </w:r>
      <w:r w:rsidRPr="00EE26E4">
        <w:rPr>
          <w:rFonts w:ascii="Times New Roman" w:hAnsi="Times New Roman" w:cs="Times New Roman"/>
          <w:szCs w:val="18"/>
        </w:rPr>
        <w:t>The range results from differences between peo</w:t>
      </w:r>
      <w:r>
        <w:rPr>
          <w:rFonts w:ascii="Times New Roman" w:hAnsi="Times New Roman" w:cs="Times New Roman"/>
          <w:szCs w:val="18"/>
        </w:rPr>
        <w:t xml:space="preserve">ple living on and off reserve. </w:t>
      </w:r>
      <w:r w:rsidRPr="00EE26E4">
        <w:rPr>
          <w:rFonts w:ascii="Times New Roman" w:hAnsi="Times New Roman" w:cs="Times New Roman"/>
          <w:szCs w:val="18"/>
        </w:rPr>
        <w:t xml:space="preserve">There are approximately five times as many lone parent families headed by Registered Indian women as Registered Indian men living on reserve, and three times as many living off reserve. </w:t>
      </w:r>
    </w:p>
  </w:footnote>
  <w:footnote w:id="48">
    <w:p w:rsidR="00D41D12" w:rsidRPr="00EE26E4" w:rsidRDefault="00D41D12" w:rsidP="00A74D9B">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7E0DA3">
        <w:rPr>
          <w:rFonts w:ascii="Times New Roman" w:hAnsi="Times New Roman" w:cs="Times New Roman"/>
          <w:szCs w:val="18"/>
        </w:rPr>
        <w:t xml:space="preserve">Statistics Canada, “First Nations, Métis, and Inuit Women,” in </w:t>
      </w:r>
      <w:r w:rsidRPr="00F32277">
        <w:rPr>
          <w:rFonts w:ascii="Times New Roman" w:hAnsi="Times New Roman" w:cs="Times New Roman"/>
          <w:i/>
          <w:szCs w:val="18"/>
        </w:rPr>
        <w:t>Women in Canada: A gender-based statistical report,</w:t>
      </w:r>
      <w:r w:rsidRPr="007E0DA3">
        <w:rPr>
          <w:rFonts w:ascii="Times New Roman" w:hAnsi="Times New Roman" w:cs="Times New Roman"/>
          <w:szCs w:val="18"/>
        </w:rPr>
        <w:t xml:space="preserve"> by Viviane O’Donnell and Susan Wallace, (Ottawa: Statistics Canada, Social and Aboriginal Statistics Division, July 2011) </w:t>
      </w:r>
      <w:r>
        <w:rPr>
          <w:rFonts w:ascii="Times New Roman" w:hAnsi="Times New Roman" w:cs="Times New Roman"/>
          <w:szCs w:val="18"/>
        </w:rPr>
        <w:t xml:space="preserve">at </w:t>
      </w:r>
      <w:r w:rsidRPr="00EE26E4">
        <w:rPr>
          <w:rFonts w:ascii="Times New Roman" w:hAnsi="Times New Roman" w:cs="Times New Roman"/>
          <w:szCs w:val="18"/>
        </w:rPr>
        <w:t>20.</w:t>
      </w:r>
    </w:p>
  </w:footnote>
  <w:footnote w:id="49">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McIvor</w:t>
      </w:r>
      <w:r>
        <w:rPr>
          <w:rFonts w:ascii="Times New Roman" w:hAnsi="Times New Roman" w:cs="Times New Roman"/>
          <w:i/>
          <w:szCs w:val="18"/>
        </w:rPr>
        <w:t xml:space="preserve">, </w:t>
      </w:r>
      <w:r>
        <w:rPr>
          <w:rFonts w:ascii="Times New Roman" w:hAnsi="Times New Roman" w:cs="Times New Roman"/>
          <w:szCs w:val="18"/>
        </w:rPr>
        <w:t xml:space="preserve">BCSC, </w:t>
      </w:r>
      <w:proofErr w:type="gramStart"/>
      <w:r>
        <w:rPr>
          <w:rFonts w:ascii="Times New Roman" w:hAnsi="Times New Roman" w:cs="Times New Roman"/>
          <w:i/>
          <w:szCs w:val="18"/>
        </w:rPr>
        <w:t xml:space="preserve">supra </w:t>
      </w:r>
      <w:r>
        <w:rPr>
          <w:rFonts w:ascii="Times New Roman" w:hAnsi="Times New Roman" w:cs="Times New Roman"/>
          <w:szCs w:val="18"/>
        </w:rPr>
        <w:t xml:space="preserve"> note</w:t>
      </w:r>
      <w:proofErr w:type="gramEnd"/>
      <w:r>
        <w:rPr>
          <w:rFonts w:ascii="Times New Roman" w:hAnsi="Times New Roman" w:cs="Times New Roman"/>
          <w:szCs w:val="18"/>
        </w:rPr>
        <w:t xml:space="preserve"> 4</w:t>
      </w:r>
      <w:r w:rsidRPr="00EE26E4">
        <w:rPr>
          <w:rFonts w:ascii="Times New Roman" w:hAnsi="Times New Roman" w:cs="Times New Roman"/>
          <w:i/>
          <w:szCs w:val="18"/>
        </w:rPr>
        <w:t xml:space="preserve"> </w:t>
      </w:r>
      <w:r w:rsidRPr="00EE26E4">
        <w:rPr>
          <w:rFonts w:ascii="Times New Roman" w:hAnsi="Times New Roman" w:cs="Times New Roman"/>
          <w:szCs w:val="18"/>
        </w:rPr>
        <w:t>at para</w:t>
      </w:r>
      <w:r>
        <w:rPr>
          <w:rFonts w:ascii="Times New Roman" w:hAnsi="Times New Roman" w:cs="Times New Roman"/>
          <w:szCs w:val="18"/>
        </w:rPr>
        <w:t>s</w:t>
      </w:r>
      <w:r w:rsidRPr="00EE26E4">
        <w:rPr>
          <w:rFonts w:ascii="Times New Roman" w:hAnsi="Times New Roman" w:cs="Times New Roman"/>
          <w:szCs w:val="18"/>
        </w:rPr>
        <w:t xml:space="preserve"> </w:t>
      </w:r>
      <w:r>
        <w:rPr>
          <w:rFonts w:ascii="Times New Roman" w:hAnsi="Times New Roman" w:cs="Times New Roman"/>
          <w:szCs w:val="18"/>
        </w:rPr>
        <w:t>133-</w:t>
      </w:r>
      <w:r w:rsidRPr="00EE26E4">
        <w:rPr>
          <w:rFonts w:ascii="Times New Roman" w:hAnsi="Times New Roman" w:cs="Times New Roman"/>
          <w:szCs w:val="18"/>
        </w:rPr>
        <w:t>134; affirmed by the B</w:t>
      </w:r>
      <w:r>
        <w:rPr>
          <w:rFonts w:ascii="Times New Roman" w:hAnsi="Times New Roman" w:cs="Times New Roman"/>
          <w:szCs w:val="18"/>
        </w:rPr>
        <w:t xml:space="preserve">ritish Columbia Court of Appeal in </w:t>
      </w:r>
      <w:r>
        <w:rPr>
          <w:rFonts w:ascii="Times New Roman" w:hAnsi="Times New Roman" w:cs="Times New Roman"/>
          <w:i/>
          <w:szCs w:val="18"/>
        </w:rPr>
        <w:t xml:space="preserve">McIvor, </w:t>
      </w:r>
      <w:r>
        <w:rPr>
          <w:rFonts w:ascii="Times New Roman" w:hAnsi="Times New Roman" w:cs="Times New Roman"/>
          <w:szCs w:val="18"/>
        </w:rPr>
        <w:t xml:space="preserve">BCCA, </w:t>
      </w:r>
      <w:r>
        <w:rPr>
          <w:rFonts w:ascii="Times New Roman" w:hAnsi="Times New Roman" w:cs="Times New Roman"/>
          <w:i/>
          <w:szCs w:val="18"/>
        </w:rPr>
        <w:t xml:space="preserve">supra </w:t>
      </w:r>
      <w:r>
        <w:rPr>
          <w:rFonts w:ascii="Times New Roman" w:hAnsi="Times New Roman" w:cs="Times New Roman"/>
          <w:szCs w:val="18"/>
        </w:rPr>
        <w:t>note 1</w:t>
      </w:r>
      <w:r w:rsidRPr="00EE26E4">
        <w:rPr>
          <w:rFonts w:ascii="Times New Roman" w:hAnsi="Times New Roman" w:cs="Times New Roman"/>
          <w:szCs w:val="18"/>
        </w:rPr>
        <w:t xml:space="preserve"> at para. 71</w:t>
      </w:r>
      <w:r>
        <w:rPr>
          <w:rFonts w:ascii="Times New Roman" w:hAnsi="Times New Roman" w:cs="Times New Roman"/>
          <w:szCs w:val="18"/>
        </w:rPr>
        <w:t>.</w:t>
      </w:r>
      <w:r w:rsidRPr="00EE26E4">
        <w:rPr>
          <w:rFonts w:ascii="Times New Roman" w:hAnsi="Times New Roman" w:cs="Times New Roman"/>
          <w:szCs w:val="18"/>
        </w:rPr>
        <w:t xml:space="preserve"> </w:t>
      </w:r>
    </w:p>
  </w:footnote>
  <w:footnote w:id="50">
    <w:p w:rsidR="00D41D12" w:rsidRPr="00EE26E4" w:rsidRDefault="00D41D12" w:rsidP="008A67A7">
      <w:pPr>
        <w:pStyle w:val="FootnoteText"/>
        <w:rPr>
          <w:rFonts w:ascii="Times New Roman" w:hAnsi="Times New Roman" w:cs="Times New Roman"/>
          <w:szCs w:val="18"/>
        </w:rPr>
      </w:pPr>
      <w:r w:rsidRPr="00B778CD">
        <w:rPr>
          <w:rStyle w:val="FootnoteReference"/>
          <w:rFonts w:ascii="Times New Roman" w:hAnsi="Times New Roman" w:cs="Times New Roman"/>
          <w:szCs w:val="18"/>
        </w:rPr>
        <w:footnoteRef/>
      </w:r>
      <w:r w:rsidRPr="00B778CD">
        <w:rPr>
          <w:rFonts w:ascii="Times New Roman" w:hAnsi="Times New Roman" w:cs="Times New Roman"/>
          <w:szCs w:val="18"/>
        </w:rPr>
        <w:t xml:space="preserve"> </w:t>
      </w:r>
      <w:r w:rsidRPr="00B778CD">
        <w:rPr>
          <w:rFonts w:ascii="Times New Roman" w:hAnsi="Times New Roman" w:cs="Times New Roman"/>
          <w:i/>
          <w:szCs w:val="18"/>
        </w:rPr>
        <w:t>Corbiere v Canada</w:t>
      </w:r>
      <w:r w:rsidRPr="00B778CD">
        <w:rPr>
          <w:rFonts w:ascii="Times New Roman" w:hAnsi="Times New Roman" w:cs="Times New Roman"/>
          <w:szCs w:val="18"/>
        </w:rPr>
        <w:t xml:space="preserve"> </w:t>
      </w:r>
      <w:r w:rsidRPr="00B778CD">
        <w:rPr>
          <w:rFonts w:ascii="Times New Roman" w:hAnsi="Times New Roman" w:cs="Times New Roman"/>
          <w:i/>
          <w:szCs w:val="18"/>
        </w:rPr>
        <w:t>(</w:t>
      </w:r>
      <w:r w:rsidRPr="00EE26E4">
        <w:rPr>
          <w:rFonts w:ascii="Times New Roman" w:hAnsi="Times New Roman" w:cs="Times New Roman"/>
          <w:i/>
          <w:szCs w:val="18"/>
        </w:rPr>
        <w:t>Minister of Indian and Northern Affairs</w:t>
      </w:r>
      <w:r w:rsidRPr="00EE26E4">
        <w:rPr>
          <w:rFonts w:ascii="Times New Roman" w:hAnsi="Times New Roman" w:cs="Times New Roman"/>
          <w:szCs w:val="18"/>
        </w:rPr>
        <w:t xml:space="preserve">), [1999] </w:t>
      </w:r>
      <w:proofErr w:type="gramStart"/>
      <w:r w:rsidRPr="00EE26E4">
        <w:rPr>
          <w:rFonts w:ascii="Times New Roman" w:hAnsi="Times New Roman" w:cs="Times New Roman"/>
          <w:szCs w:val="18"/>
        </w:rPr>
        <w:t>2</w:t>
      </w:r>
      <w:proofErr w:type="gramEnd"/>
      <w:r w:rsidRPr="00EE26E4">
        <w:rPr>
          <w:rFonts w:ascii="Times New Roman" w:hAnsi="Times New Roman" w:cs="Times New Roman"/>
          <w:szCs w:val="18"/>
        </w:rPr>
        <w:t xml:space="preserve"> SCR 203 at paras 85-87, per L’Heureux-Dubé J, concurring; </w:t>
      </w:r>
      <w:r w:rsidRPr="00EE26E4">
        <w:rPr>
          <w:rFonts w:ascii="Times New Roman" w:hAnsi="Times New Roman" w:cs="Times New Roman"/>
          <w:i/>
          <w:szCs w:val="18"/>
        </w:rPr>
        <w:t>Martin v Chapman,</w:t>
      </w:r>
      <w:r w:rsidRPr="00EE26E4">
        <w:rPr>
          <w:rFonts w:ascii="Times New Roman" w:hAnsi="Times New Roman" w:cs="Times New Roman"/>
          <w:szCs w:val="18"/>
        </w:rPr>
        <w:t xml:space="preserve"> [1983] 1 SCR 365 at 370.</w:t>
      </w:r>
    </w:p>
  </w:footnote>
  <w:footnote w:id="51">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McIvor, </w:t>
      </w:r>
      <w:r w:rsidRPr="00EE26E4">
        <w:rPr>
          <w:rFonts w:ascii="Times New Roman" w:hAnsi="Times New Roman" w:cs="Times New Roman"/>
          <w:szCs w:val="18"/>
        </w:rPr>
        <w:t>BCSC</w:t>
      </w:r>
      <w:r>
        <w:rPr>
          <w:rFonts w:ascii="Times New Roman" w:hAnsi="Times New Roman" w:cs="Times New Roman"/>
          <w:szCs w:val="18"/>
        </w:rPr>
        <w:t xml:space="preserve">, </w:t>
      </w:r>
      <w:r>
        <w:rPr>
          <w:rFonts w:ascii="Times New Roman" w:hAnsi="Times New Roman" w:cs="Times New Roman"/>
          <w:i/>
          <w:szCs w:val="18"/>
        </w:rPr>
        <w:t xml:space="preserve">supra </w:t>
      </w:r>
      <w:r>
        <w:rPr>
          <w:rFonts w:ascii="Times New Roman" w:hAnsi="Times New Roman" w:cs="Times New Roman"/>
          <w:szCs w:val="18"/>
        </w:rPr>
        <w:t xml:space="preserve">note </w:t>
      </w:r>
      <w:proofErr w:type="gramStart"/>
      <w:r>
        <w:rPr>
          <w:rFonts w:ascii="Times New Roman" w:hAnsi="Times New Roman" w:cs="Times New Roman"/>
          <w:szCs w:val="18"/>
        </w:rPr>
        <w:t>5</w:t>
      </w:r>
      <w:proofErr w:type="gramEnd"/>
      <w:r w:rsidRPr="00EE26E4">
        <w:rPr>
          <w:rFonts w:ascii="Times New Roman" w:hAnsi="Times New Roman" w:cs="Times New Roman"/>
          <w:szCs w:val="18"/>
        </w:rPr>
        <w:t xml:space="preserve"> at para 37</w:t>
      </w:r>
      <w:r>
        <w:rPr>
          <w:rFonts w:ascii="Times New Roman" w:hAnsi="Times New Roman" w:cs="Times New Roman"/>
          <w:szCs w:val="18"/>
        </w:rPr>
        <w:t>.</w:t>
      </w:r>
    </w:p>
  </w:footnote>
  <w:footnote w:id="52">
    <w:p w:rsidR="00D41D12" w:rsidRPr="00976A6F" w:rsidRDefault="00D41D12">
      <w:pPr>
        <w:pStyle w:val="FootnoteText"/>
        <w:rPr>
          <w:rFonts w:ascii="Times New Roman" w:hAnsi="Times New Roman" w:cs="Times New Roman"/>
        </w:rPr>
      </w:pPr>
      <w:r w:rsidRPr="00976A6F">
        <w:rPr>
          <w:rStyle w:val="FootnoteReference"/>
          <w:rFonts w:ascii="Times New Roman" w:hAnsi="Times New Roman" w:cs="Times New Roman"/>
        </w:rPr>
        <w:footnoteRef/>
      </w:r>
      <w:r w:rsidRPr="00976A6F">
        <w:rPr>
          <w:rFonts w:ascii="Times New Roman" w:hAnsi="Times New Roman" w:cs="Times New Roman"/>
        </w:rPr>
        <w:t xml:space="preserve"> </w:t>
      </w:r>
      <w:r w:rsidRPr="00976A6F">
        <w:rPr>
          <w:rFonts w:ascii="Times New Roman" w:hAnsi="Times New Roman" w:cs="Times New Roman"/>
          <w:i/>
        </w:rPr>
        <w:t>McIvor,</w:t>
      </w:r>
      <w:r w:rsidRPr="00976A6F">
        <w:rPr>
          <w:rFonts w:ascii="Times New Roman" w:hAnsi="Times New Roman" w:cs="Times New Roman"/>
        </w:rPr>
        <w:t xml:space="preserve"> BCCA, </w:t>
      </w:r>
      <w:proofErr w:type="gramStart"/>
      <w:r w:rsidRPr="00976A6F">
        <w:rPr>
          <w:rFonts w:ascii="Times New Roman" w:hAnsi="Times New Roman" w:cs="Times New Roman"/>
          <w:i/>
        </w:rPr>
        <w:t xml:space="preserve">supra </w:t>
      </w:r>
      <w:r w:rsidRPr="00976A6F">
        <w:rPr>
          <w:rFonts w:ascii="Times New Roman" w:hAnsi="Times New Roman" w:cs="Times New Roman"/>
        </w:rPr>
        <w:t xml:space="preserve"> note</w:t>
      </w:r>
      <w:proofErr w:type="gramEnd"/>
      <w:r w:rsidRPr="00976A6F">
        <w:rPr>
          <w:rFonts w:ascii="Times New Roman" w:hAnsi="Times New Roman" w:cs="Times New Roman"/>
        </w:rPr>
        <w:t xml:space="preserve"> 1 at paras 73-74</w:t>
      </w:r>
      <w:r>
        <w:rPr>
          <w:rFonts w:ascii="Times New Roman" w:hAnsi="Times New Roman" w:cs="Times New Roman"/>
        </w:rPr>
        <w:t xml:space="preserve">, </w:t>
      </w:r>
      <w:r w:rsidRPr="00976A6F">
        <w:rPr>
          <w:rFonts w:ascii="Times New Roman" w:hAnsi="Times New Roman" w:cs="Times New Roman"/>
        </w:rPr>
        <w:t>92.</w:t>
      </w:r>
    </w:p>
  </w:footnote>
  <w:footnote w:id="53">
    <w:p w:rsidR="00D41D12" w:rsidRPr="00F676DD" w:rsidRDefault="00D41D12" w:rsidP="00D12F4E">
      <w:pPr>
        <w:pStyle w:val="FootnoteText"/>
      </w:pPr>
      <w:r w:rsidRPr="00976A6F">
        <w:rPr>
          <w:rStyle w:val="FootnoteReference"/>
          <w:rFonts w:ascii="Times New Roman" w:hAnsi="Times New Roman" w:cs="Times New Roman"/>
        </w:rPr>
        <w:footnoteRef/>
      </w:r>
      <w:r w:rsidRPr="00976A6F">
        <w:rPr>
          <w:rFonts w:ascii="Times New Roman" w:hAnsi="Times New Roman" w:cs="Times New Roman"/>
        </w:rPr>
        <w:t xml:space="preserve"> </w:t>
      </w:r>
      <w:r>
        <w:rPr>
          <w:rFonts w:ascii="Times New Roman" w:hAnsi="Times New Roman" w:cs="Times New Roman"/>
          <w:i/>
        </w:rPr>
        <w:t>Benner v</w:t>
      </w:r>
      <w:r w:rsidRPr="00976A6F">
        <w:rPr>
          <w:rFonts w:ascii="Times New Roman" w:hAnsi="Times New Roman" w:cs="Times New Roman"/>
          <w:i/>
        </w:rPr>
        <w:t xml:space="preserve"> Canada (Secretary of State),</w:t>
      </w:r>
      <w:r w:rsidRPr="00976A6F">
        <w:rPr>
          <w:rFonts w:ascii="Times New Roman" w:hAnsi="Times New Roman" w:cs="Times New Roman"/>
        </w:rPr>
        <w:t xml:space="preserve"> [1997] </w:t>
      </w:r>
      <w:proofErr w:type="gramStart"/>
      <w:r w:rsidRPr="00976A6F">
        <w:rPr>
          <w:rFonts w:ascii="Times New Roman" w:hAnsi="Times New Roman" w:cs="Times New Roman"/>
        </w:rPr>
        <w:t>1</w:t>
      </w:r>
      <w:proofErr w:type="gramEnd"/>
      <w:r w:rsidRPr="00976A6F">
        <w:rPr>
          <w:rFonts w:ascii="Times New Roman" w:hAnsi="Times New Roman" w:cs="Times New Roman"/>
        </w:rPr>
        <w:t xml:space="preserve"> SCR 358</w:t>
      </w:r>
      <w:r>
        <w:rPr>
          <w:rFonts w:ascii="Times New Roman" w:hAnsi="Times New Roman" w:cs="Times New Roman"/>
        </w:rPr>
        <w:t xml:space="preserve"> at paras 78-90; see also </w:t>
      </w:r>
      <w:r w:rsidRPr="00976A6F">
        <w:rPr>
          <w:rFonts w:ascii="Times New Roman" w:hAnsi="Times New Roman" w:cs="Times New Roman"/>
          <w:i/>
        </w:rPr>
        <w:t>McIvor</w:t>
      </w:r>
      <w:r w:rsidRPr="00976A6F">
        <w:rPr>
          <w:rFonts w:ascii="Times New Roman" w:hAnsi="Times New Roman" w:cs="Times New Roman"/>
        </w:rPr>
        <w:t xml:space="preserve">, BCCA, </w:t>
      </w:r>
      <w:r w:rsidRPr="00976A6F">
        <w:rPr>
          <w:rFonts w:ascii="Times New Roman" w:hAnsi="Times New Roman" w:cs="Times New Roman"/>
          <w:i/>
        </w:rPr>
        <w:t xml:space="preserve">supra </w:t>
      </w:r>
      <w:r>
        <w:rPr>
          <w:rFonts w:ascii="Times New Roman" w:hAnsi="Times New Roman" w:cs="Times New Roman"/>
        </w:rPr>
        <w:t>note 1.</w:t>
      </w:r>
    </w:p>
  </w:footnote>
  <w:footnote w:id="54">
    <w:p w:rsidR="00D41D12" w:rsidRPr="003A6807" w:rsidRDefault="00D41D12" w:rsidP="00012FB1">
      <w:pPr>
        <w:pStyle w:val="FootnoteText"/>
        <w:rPr>
          <w:rFonts w:ascii="Times New Roman" w:hAnsi="Times New Roman" w:cs="Times New Roman"/>
          <w:szCs w:val="18"/>
        </w:rPr>
      </w:pPr>
      <w:r w:rsidRPr="003A6807">
        <w:rPr>
          <w:rStyle w:val="FootnoteReference"/>
          <w:rFonts w:ascii="Times New Roman" w:hAnsi="Times New Roman" w:cs="Times New Roman"/>
          <w:szCs w:val="18"/>
        </w:rPr>
        <w:footnoteRef/>
      </w:r>
      <w:r w:rsidRPr="003A6807">
        <w:rPr>
          <w:rFonts w:ascii="Times New Roman" w:hAnsi="Times New Roman" w:cs="Times New Roman"/>
          <w:szCs w:val="18"/>
        </w:rPr>
        <w:t xml:space="preserve"> </w:t>
      </w:r>
      <w:r w:rsidRPr="004F0A2C">
        <w:rPr>
          <w:rFonts w:ascii="Times New Roman" w:hAnsi="Times New Roman" w:cs="Times New Roman"/>
          <w:i/>
          <w:szCs w:val="18"/>
        </w:rPr>
        <w:t>Quebec v A</w:t>
      </w:r>
      <w:r w:rsidRPr="003A6807">
        <w:rPr>
          <w:rFonts w:ascii="Times New Roman" w:hAnsi="Times New Roman" w:cs="Times New Roman"/>
          <w:szCs w:val="18"/>
        </w:rPr>
        <w:t>,</w:t>
      </w:r>
      <w:r>
        <w:rPr>
          <w:rFonts w:ascii="Times New Roman" w:hAnsi="Times New Roman" w:cs="Times New Roman"/>
          <w:szCs w:val="18"/>
        </w:rPr>
        <w:t xml:space="preserve"> </w:t>
      </w:r>
      <w:r>
        <w:rPr>
          <w:rFonts w:ascii="Times New Roman" w:hAnsi="Times New Roman" w:cs="Times New Roman"/>
          <w:i/>
          <w:szCs w:val="18"/>
        </w:rPr>
        <w:t xml:space="preserve">supra </w:t>
      </w:r>
      <w:r>
        <w:rPr>
          <w:rFonts w:ascii="Times New Roman" w:hAnsi="Times New Roman" w:cs="Times New Roman"/>
          <w:szCs w:val="18"/>
        </w:rPr>
        <w:t>note 19</w:t>
      </w:r>
      <w:r w:rsidRPr="003A6807">
        <w:rPr>
          <w:rFonts w:ascii="Times New Roman" w:hAnsi="Times New Roman" w:cs="Times New Roman"/>
          <w:szCs w:val="18"/>
        </w:rPr>
        <w:t xml:space="preserve"> at para 342</w:t>
      </w:r>
      <w:r>
        <w:rPr>
          <w:rFonts w:ascii="Times New Roman" w:hAnsi="Times New Roman" w:cs="Times New Roman"/>
          <w:szCs w:val="18"/>
        </w:rPr>
        <w:t>, per Abella J, for the majority on the scope and application of s. 15(1).</w:t>
      </w:r>
    </w:p>
  </w:footnote>
  <w:footnote w:id="55">
    <w:p w:rsidR="00D41D12" w:rsidRPr="00EE26E4" w:rsidRDefault="00D41D12">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4F0A2C">
        <w:rPr>
          <w:rFonts w:ascii="Times New Roman" w:hAnsi="Times New Roman" w:cs="Times New Roman"/>
          <w:i/>
          <w:szCs w:val="18"/>
        </w:rPr>
        <w:t>Gehl</w:t>
      </w:r>
      <w:r>
        <w:rPr>
          <w:rFonts w:ascii="Times New Roman" w:hAnsi="Times New Roman" w:cs="Times New Roman"/>
          <w:i/>
          <w:szCs w:val="18"/>
        </w:rPr>
        <w:t xml:space="preserve">, supra </w:t>
      </w:r>
      <w:r>
        <w:rPr>
          <w:rFonts w:ascii="Times New Roman" w:hAnsi="Times New Roman" w:cs="Times New Roman"/>
          <w:szCs w:val="18"/>
        </w:rPr>
        <w:t>note 17</w:t>
      </w:r>
      <w:r w:rsidRPr="004F0A2C">
        <w:rPr>
          <w:rFonts w:ascii="Times New Roman" w:hAnsi="Times New Roman" w:cs="Times New Roman"/>
          <w:i/>
          <w:szCs w:val="18"/>
        </w:rPr>
        <w:t xml:space="preserve"> </w:t>
      </w:r>
      <w:r>
        <w:rPr>
          <w:rFonts w:ascii="Times New Roman" w:hAnsi="Times New Roman" w:cs="Times New Roman"/>
          <w:szCs w:val="18"/>
        </w:rPr>
        <w:t>at paras 79</w:t>
      </w:r>
      <w:r w:rsidRPr="00EE26E4">
        <w:rPr>
          <w:rFonts w:ascii="Times New Roman" w:hAnsi="Times New Roman" w:cs="Times New Roman"/>
          <w:szCs w:val="18"/>
        </w:rPr>
        <w:t>, 81.</w:t>
      </w:r>
    </w:p>
  </w:footnote>
  <w:footnote w:id="56">
    <w:p w:rsidR="00D41D12" w:rsidRPr="0032740C" w:rsidRDefault="00D41D12">
      <w:pPr>
        <w:pStyle w:val="FootnoteText"/>
        <w:rPr>
          <w:rFonts w:ascii="Times New Roman" w:hAnsi="Times New Roman" w:cs="Times New Roman"/>
          <w:szCs w:val="18"/>
        </w:rPr>
      </w:pPr>
      <w:r w:rsidRPr="0032740C">
        <w:rPr>
          <w:rStyle w:val="FootnoteReference"/>
          <w:rFonts w:ascii="Times New Roman" w:hAnsi="Times New Roman" w:cs="Times New Roman"/>
          <w:szCs w:val="18"/>
        </w:rPr>
        <w:footnoteRef/>
      </w:r>
      <w:r w:rsidRPr="0032740C">
        <w:rPr>
          <w:rFonts w:ascii="Times New Roman" w:hAnsi="Times New Roman" w:cs="Times New Roman"/>
          <w:szCs w:val="18"/>
        </w:rPr>
        <w:t xml:space="preserve"> </w:t>
      </w:r>
      <w:r w:rsidRPr="0032740C">
        <w:rPr>
          <w:rFonts w:ascii="Times New Roman" w:hAnsi="Times New Roman" w:cs="Times New Roman"/>
          <w:i/>
          <w:szCs w:val="18"/>
        </w:rPr>
        <w:t>Quebec v A,</w:t>
      </w:r>
      <w:r w:rsidRPr="0032740C">
        <w:rPr>
          <w:rFonts w:ascii="Times New Roman" w:hAnsi="Times New Roman" w:cs="Times New Roman"/>
          <w:szCs w:val="18"/>
        </w:rPr>
        <w:t xml:space="preserve"> </w:t>
      </w:r>
      <w:r w:rsidRPr="0032740C">
        <w:rPr>
          <w:rFonts w:ascii="Times New Roman" w:hAnsi="Times New Roman" w:cs="Times New Roman"/>
          <w:i/>
          <w:szCs w:val="18"/>
        </w:rPr>
        <w:t xml:space="preserve">supra </w:t>
      </w:r>
      <w:r w:rsidRPr="0032740C">
        <w:rPr>
          <w:rFonts w:ascii="Times New Roman" w:hAnsi="Times New Roman" w:cs="Times New Roman"/>
          <w:szCs w:val="18"/>
        </w:rPr>
        <w:t>note</w:t>
      </w:r>
      <w:r>
        <w:rPr>
          <w:rFonts w:ascii="Times New Roman" w:hAnsi="Times New Roman" w:cs="Times New Roman"/>
          <w:szCs w:val="18"/>
        </w:rPr>
        <w:t xml:space="preserve"> 19</w:t>
      </w:r>
      <w:r w:rsidRPr="0032740C">
        <w:rPr>
          <w:rFonts w:ascii="Times New Roman" w:hAnsi="Times New Roman" w:cs="Times New Roman"/>
          <w:szCs w:val="18"/>
        </w:rPr>
        <w:t xml:space="preserve"> at para 331</w:t>
      </w:r>
      <w:r>
        <w:rPr>
          <w:rFonts w:ascii="Times New Roman" w:hAnsi="Times New Roman" w:cs="Times New Roman"/>
          <w:szCs w:val="18"/>
        </w:rPr>
        <w:t>, per Abella J, for the majority on the scope and application of s. 15(1).</w:t>
      </w:r>
    </w:p>
  </w:footnote>
  <w:footnote w:id="57">
    <w:p w:rsidR="00D41D12" w:rsidRPr="0032740C" w:rsidRDefault="00D41D12">
      <w:pPr>
        <w:pStyle w:val="FootnoteText"/>
        <w:rPr>
          <w:rFonts w:ascii="Times New Roman" w:hAnsi="Times New Roman" w:cs="Times New Roman"/>
          <w:i/>
        </w:rPr>
      </w:pPr>
      <w:r w:rsidRPr="0032740C">
        <w:rPr>
          <w:rStyle w:val="FootnoteReference"/>
          <w:rFonts w:ascii="Times New Roman" w:hAnsi="Times New Roman" w:cs="Times New Roman"/>
        </w:rPr>
        <w:footnoteRef/>
      </w:r>
      <w:r w:rsidRPr="0032740C">
        <w:rPr>
          <w:rFonts w:ascii="Times New Roman" w:hAnsi="Times New Roman" w:cs="Times New Roman"/>
        </w:rPr>
        <w:t xml:space="preserve"> </w:t>
      </w:r>
      <w:r>
        <w:rPr>
          <w:rFonts w:ascii="Times New Roman" w:hAnsi="Times New Roman" w:cs="Times New Roman"/>
          <w:i/>
        </w:rPr>
        <w:t>R v Oakes</w:t>
      </w:r>
      <w:r w:rsidRPr="0032740C">
        <w:rPr>
          <w:rFonts w:ascii="Times New Roman" w:hAnsi="Times New Roman" w:cs="Times New Roman"/>
          <w:i/>
        </w:rPr>
        <w:t xml:space="preserve">, </w:t>
      </w:r>
      <w:r>
        <w:rPr>
          <w:rFonts w:ascii="Times New Roman" w:hAnsi="Times New Roman" w:cs="Times New Roman"/>
          <w:spacing w:val="-3"/>
        </w:rPr>
        <w:t xml:space="preserve">[1986] </w:t>
      </w:r>
      <w:proofErr w:type="gramStart"/>
      <w:r>
        <w:rPr>
          <w:rFonts w:ascii="Times New Roman" w:hAnsi="Times New Roman" w:cs="Times New Roman"/>
          <w:spacing w:val="-3"/>
        </w:rPr>
        <w:t>1</w:t>
      </w:r>
      <w:proofErr w:type="gramEnd"/>
      <w:r>
        <w:rPr>
          <w:rFonts w:ascii="Times New Roman" w:hAnsi="Times New Roman" w:cs="Times New Roman"/>
          <w:spacing w:val="-3"/>
        </w:rPr>
        <w:t xml:space="preserve"> SCR</w:t>
      </w:r>
      <w:r w:rsidRPr="0032740C">
        <w:rPr>
          <w:rFonts w:ascii="Times New Roman" w:hAnsi="Times New Roman" w:cs="Times New Roman"/>
          <w:spacing w:val="-3"/>
        </w:rPr>
        <w:t xml:space="preserve"> 103</w:t>
      </w:r>
      <w:r w:rsidRPr="0032740C">
        <w:rPr>
          <w:rFonts w:ascii="Times New Roman" w:hAnsi="Times New Roman" w:cs="Times New Roman"/>
          <w:i/>
        </w:rPr>
        <w:t>.</w:t>
      </w:r>
    </w:p>
  </w:footnote>
  <w:footnote w:id="58">
    <w:p w:rsidR="00D41D12" w:rsidRPr="00EE26E4" w:rsidRDefault="00D41D12" w:rsidP="00A81F83">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 xml:space="preserve">Slaight Communications Inc v. Davidson, </w:t>
      </w:r>
      <w:r>
        <w:rPr>
          <w:rFonts w:ascii="Times New Roman" w:hAnsi="Times New Roman" w:cs="Times New Roman"/>
          <w:szCs w:val="18"/>
        </w:rPr>
        <w:t xml:space="preserve">[1989] </w:t>
      </w:r>
      <w:proofErr w:type="gramStart"/>
      <w:r>
        <w:rPr>
          <w:rFonts w:ascii="Times New Roman" w:hAnsi="Times New Roman" w:cs="Times New Roman"/>
          <w:szCs w:val="18"/>
        </w:rPr>
        <w:t>1</w:t>
      </w:r>
      <w:proofErr w:type="gramEnd"/>
      <w:r>
        <w:rPr>
          <w:rFonts w:ascii="Times New Roman" w:hAnsi="Times New Roman" w:cs="Times New Roman"/>
          <w:szCs w:val="18"/>
        </w:rPr>
        <w:t xml:space="preserve"> SCR 529 at para 87. </w:t>
      </w:r>
    </w:p>
  </w:footnote>
  <w:footnote w:id="59">
    <w:p w:rsidR="00D41D12" w:rsidRPr="00A36912" w:rsidRDefault="00D41D12">
      <w:pPr>
        <w:pStyle w:val="FootnoteText"/>
        <w:rPr>
          <w:rFonts w:ascii="Times New Roman" w:hAnsi="Times New Roman" w:cs="Times New Roman"/>
        </w:rPr>
      </w:pPr>
      <w:r w:rsidRPr="00A36912">
        <w:rPr>
          <w:rStyle w:val="FootnoteReference"/>
          <w:rFonts w:ascii="Times New Roman" w:hAnsi="Times New Roman" w:cs="Times New Roman"/>
        </w:rPr>
        <w:footnoteRef/>
      </w:r>
      <w:r w:rsidRPr="00A36912">
        <w:rPr>
          <w:rFonts w:ascii="Times New Roman" w:hAnsi="Times New Roman" w:cs="Times New Roman"/>
        </w:rPr>
        <w:t xml:space="preserve"> </w:t>
      </w:r>
      <w:r w:rsidRPr="00A36912">
        <w:rPr>
          <w:rFonts w:ascii="Times New Roman" w:hAnsi="Times New Roman" w:cs="Times New Roman"/>
          <w:i/>
          <w:szCs w:val="18"/>
        </w:rPr>
        <w:t xml:space="preserve">Nowegijick v The Queen, </w:t>
      </w:r>
      <w:r w:rsidRPr="00A36912">
        <w:rPr>
          <w:rFonts w:ascii="Times New Roman" w:hAnsi="Times New Roman" w:cs="Times New Roman"/>
          <w:szCs w:val="18"/>
        </w:rPr>
        <w:t xml:space="preserve">[1983] </w:t>
      </w:r>
      <w:proofErr w:type="gramStart"/>
      <w:r w:rsidRPr="00A36912">
        <w:rPr>
          <w:rFonts w:ascii="Times New Roman" w:hAnsi="Times New Roman" w:cs="Times New Roman"/>
          <w:szCs w:val="18"/>
        </w:rPr>
        <w:t>1</w:t>
      </w:r>
      <w:proofErr w:type="gramEnd"/>
      <w:r w:rsidRPr="00A36912">
        <w:rPr>
          <w:rFonts w:ascii="Times New Roman" w:hAnsi="Times New Roman" w:cs="Times New Roman"/>
          <w:szCs w:val="18"/>
        </w:rPr>
        <w:t xml:space="preserve"> SCR</w:t>
      </w:r>
      <w:r>
        <w:rPr>
          <w:rFonts w:ascii="Times New Roman" w:hAnsi="Times New Roman" w:cs="Times New Roman"/>
          <w:szCs w:val="18"/>
        </w:rPr>
        <w:t xml:space="preserve"> 29 at 36.</w:t>
      </w:r>
      <w:r w:rsidRPr="00A36912">
        <w:rPr>
          <w:rFonts w:ascii="Times New Roman" w:hAnsi="Times New Roman" w:cs="Times New Roman"/>
          <w:szCs w:val="18"/>
        </w:rPr>
        <w:t xml:space="preserve"> See also: </w:t>
      </w:r>
      <w:r w:rsidRPr="00A36912">
        <w:rPr>
          <w:rFonts w:ascii="Times New Roman" w:hAnsi="Times New Roman" w:cs="Times New Roman"/>
          <w:i/>
          <w:szCs w:val="18"/>
        </w:rPr>
        <w:t xml:space="preserve">Mitchell v Peguis </w:t>
      </w:r>
      <w:r w:rsidRPr="00A36912">
        <w:rPr>
          <w:rFonts w:ascii="Times New Roman" w:hAnsi="Times New Roman" w:cs="Times New Roman"/>
          <w:szCs w:val="18"/>
        </w:rPr>
        <w:t xml:space="preserve">[1990] </w:t>
      </w:r>
      <w:proofErr w:type="gramStart"/>
      <w:r w:rsidRPr="00A36912">
        <w:rPr>
          <w:rFonts w:ascii="Times New Roman" w:hAnsi="Times New Roman" w:cs="Times New Roman"/>
          <w:szCs w:val="18"/>
        </w:rPr>
        <w:t>2</w:t>
      </w:r>
      <w:proofErr w:type="gramEnd"/>
      <w:r w:rsidRPr="00A36912">
        <w:rPr>
          <w:rFonts w:ascii="Times New Roman" w:hAnsi="Times New Roman" w:cs="Times New Roman"/>
          <w:szCs w:val="18"/>
        </w:rPr>
        <w:t xml:space="preserve"> SCR 85 at paras 119-120 [“</w:t>
      </w:r>
      <w:r w:rsidRPr="00A36912">
        <w:rPr>
          <w:rFonts w:ascii="Times New Roman" w:hAnsi="Times New Roman" w:cs="Times New Roman"/>
          <w:i/>
          <w:szCs w:val="18"/>
        </w:rPr>
        <w:t>Mitchell”</w:t>
      </w:r>
      <w:r w:rsidRPr="00A36912">
        <w:rPr>
          <w:rFonts w:ascii="Times New Roman" w:hAnsi="Times New Roman" w:cs="Times New Roman"/>
          <w:szCs w:val="18"/>
        </w:rPr>
        <w:t>]</w:t>
      </w:r>
      <w:r w:rsidRPr="00A36912">
        <w:rPr>
          <w:rFonts w:ascii="Times New Roman" w:hAnsi="Times New Roman" w:cs="Times New Roman"/>
        </w:rPr>
        <w:t>.</w:t>
      </w:r>
    </w:p>
  </w:footnote>
  <w:footnote w:id="60">
    <w:p w:rsidR="00D41D12" w:rsidRPr="00EE26E4" w:rsidRDefault="00D41D12">
      <w:pPr>
        <w:pStyle w:val="FootnoteText"/>
        <w:rPr>
          <w:rFonts w:ascii="Times New Roman" w:hAnsi="Times New Roman" w:cs="Times New Roman"/>
          <w:szCs w:val="18"/>
        </w:rPr>
      </w:pPr>
      <w:r w:rsidRPr="00E76CA2">
        <w:rPr>
          <w:rStyle w:val="FootnoteReference"/>
          <w:rFonts w:ascii="Times New Roman" w:hAnsi="Times New Roman" w:cs="Times New Roman"/>
          <w:szCs w:val="18"/>
        </w:rPr>
        <w:footnoteRef/>
      </w:r>
      <w:r w:rsidRPr="00E76CA2">
        <w:rPr>
          <w:rFonts w:ascii="Times New Roman" w:hAnsi="Times New Roman" w:cs="Times New Roman"/>
          <w:szCs w:val="18"/>
        </w:rPr>
        <w:t xml:space="preserve"> </w:t>
      </w:r>
      <w:r w:rsidRPr="00E76CA2">
        <w:rPr>
          <w:rFonts w:ascii="Times New Roman" w:hAnsi="Times New Roman" w:cs="Times New Roman"/>
          <w:i/>
          <w:szCs w:val="18"/>
        </w:rPr>
        <w:t>Mitchell,</w:t>
      </w:r>
      <w:r>
        <w:rPr>
          <w:rFonts w:ascii="Times New Roman" w:hAnsi="Times New Roman" w:cs="Times New Roman"/>
          <w:i/>
          <w:szCs w:val="18"/>
        </w:rPr>
        <w:t xml:space="preserve"> supra </w:t>
      </w:r>
      <w:r>
        <w:rPr>
          <w:rFonts w:ascii="Times New Roman" w:hAnsi="Times New Roman" w:cs="Times New Roman"/>
          <w:szCs w:val="18"/>
        </w:rPr>
        <w:t>note 58 at para</w:t>
      </w:r>
      <w:r w:rsidRPr="00E76CA2">
        <w:rPr>
          <w:rFonts w:ascii="Times New Roman" w:hAnsi="Times New Roman" w:cs="Times New Roman"/>
          <w:szCs w:val="18"/>
        </w:rPr>
        <w:t xml:space="preserve"> 15</w:t>
      </w:r>
      <w:r>
        <w:rPr>
          <w:rFonts w:ascii="Times New Roman" w:hAnsi="Times New Roman" w:cs="Times New Roman"/>
          <w:szCs w:val="18"/>
        </w:rPr>
        <w:t>.</w:t>
      </w:r>
    </w:p>
  </w:footnote>
  <w:footnote w:id="61">
    <w:p w:rsidR="00D41D12" w:rsidRPr="00DF1649" w:rsidRDefault="00D41D12" w:rsidP="009A4E07">
      <w:pPr>
        <w:pStyle w:val="FootnoteText"/>
        <w:rPr>
          <w:rFonts w:ascii="Times New Roman" w:hAnsi="Times New Roman" w:cs="Times New Roman"/>
          <w:szCs w:val="18"/>
        </w:rPr>
      </w:pPr>
      <w:r w:rsidRPr="00EE26E4">
        <w:rPr>
          <w:rStyle w:val="FootnoteReference"/>
          <w:rFonts w:ascii="Times New Roman" w:hAnsi="Times New Roman" w:cs="Times New Roman"/>
          <w:szCs w:val="18"/>
        </w:rPr>
        <w:footnoteRef/>
      </w:r>
      <w:r w:rsidRPr="00EE26E4">
        <w:rPr>
          <w:rFonts w:ascii="Times New Roman" w:hAnsi="Times New Roman" w:cs="Times New Roman"/>
          <w:szCs w:val="18"/>
        </w:rPr>
        <w:t xml:space="preserve"> </w:t>
      </w:r>
      <w:r w:rsidRPr="00EE26E4">
        <w:rPr>
          <w:rFonts w:ascii="Times New Roman" w:hAnsi="Times New Roman" w:cs="Times New Roman"/>
          <w:i/>
          <w:szCs w:val="18"/>
        </w:rPr>
        <w:t>R v Hape,</w:t>
      </w:r>
      <w:r w:rsidRPr="00EE26E4">
        <w:rPr>
          <w:rFonts w:ascii="Times New Roman" w:hAnsi="Times New Roman" w:cs="Times New Roman"/>
          <w:szCs w:val="18"/>
        </w:rPr>
        <w:t xml:space="preserve"> [2007] </w:t>
      </w:r>
      <w:proofErr w:type="gramStart"/>
      <w:r w:rsidRPr="00EE26E4">
        <w:rPr>
          <w:rFonts w:ascii="Times New Roman" w:hAnsi="Times New Roman" w:cs="Times New Roman"/>
          <w:szCs w:val="18"/>
        </w:rPr>
        <w:t>2</w:t>
      </w:r>
      <w:proofErr w:type="gramEnd"/>
      <w:r w:rsidRPr="00EE26E4">
        <w:rPr>
          <w:rFonts w:ascii="Times New Roman" w:hAnsi="Times New Roman" w:cs="Times New Roman"/>
          <w:szCs w:val="18"/>
        </w:rPr>
        <w:t xml:space="preserve"> SCR 292, 2007 SCC 26 at para 53</w:t>
      </w:r>
      <w:r>
        <w:rPr>
          <w:rFonts w:ascii="Times New Roman" w:hAnsi="Times New Roman" w:cs="Times New Roman"/>
          <w:szCs w:val="18"/>
        </w:rPr>
        <w:t>;</w:t>
      </w:r>
      <w:r w:rsidRPr="000F7D6F">
        <w:rPr>
          <w:rFonts w:ascii="Times New Roman" w:hAnsi="Times New Roman" w:cs="Times New Roman"/>
          <w:szCs w:val="18"/>
        </w:rPr>
        <w:t xml:space="preserve"> </w:t>
      </w:r>
      <w:r>
        <w:rPr>
          <w:rFonts w:ascii="Times New Roman" w:hAnsi="Times New Roman" w:cs="Times New Roman"/>
          <w:i/>
          <w:szCs w:val="18"/>
        </w:rPr>
        <w:t>Baker v</w:t>
      </w:r>
      <w:r w:rsidRPr="00EE26E4">
        <w:rPr>
          <w:rFonts w:ascii="Times New Roman" w:hAnsi="Times New Roman" w:cs="Times New Roman"/>
          <w:i/>
          <w:szCs w:val="18"/>
        </w:rPr>
        <w:t xml:space="preserve"> Canada (Minister of Citizenship and Immigration),</w:t>
      </w:r>
      <w:r>
        <w:rPr>
          <w:rFonts w:ascii="Times New Roman" w:hAnsi="Times New Roman" w:cs="Times New Roman"/>
          <w:szCs w:val="18"/>
        </w:rPr>
        <w:t xml:space="preserve"> [1999] 2 SCR 817 at paras 70-71; Ruth Sullivan, </w:t>
      </w:r>
      <w:r>
        <w:rPr>
          <w:rFonts w:ascii="Times New Roman" w:hAnsi="Times New Roman" w:cs="Times New Roman"/>
          <w:i/>
          <w:szCs w:val="18"/>
        </w:rPr>
        <w:t>Sullivan on the Construction of Statutes,</w:t>
      </w:r>
      <w:r>
        <w:rPr>
          <w:rFonts w:ascii="Times New Roman" w:hAnsi="Times New Roman" w:cs="Times New Roman"/>
          <w:szCs w:val="18"/>
        </w:rPr>
        <w:t xml:space="preserve"> 5th ed (Markham: LexisNexis, 2008) at 539.</w:t>
      </w:r>
    </w:p>
  </w:footnote>
  <w:footnote w:id="62">
    <w:p w:rsidR="00D41D12" w:rsidRPr="001F212F" w:rsidRDefault="00D41D12" w:rsidP="009A4E07">
      <w:pPr>
        <w:pStyle w:val="FootnoteText"/>
        <w:rPr>
          <w:rFonts w:ascii="Times New Roman" w:hAnsi="Times New Roman" w:cs="Times New Roman"/>
        </w:rPr>
      </w:pPr>
      <w:r w:rsidRPr="001F212F">
        <w:rPr>
          <w:rStyle w:val="FootnoteReference"/>
          <w:rFonts w:ascii="Times New Roman" w:hAnsi="Times New Roman" w:cs="Times New Roman"/>
        </w:rPr>
        <w:footnoteRef/>
      </w:r>
      <w:r w:rsidRPr="001F212F">
        <w:rPr>
          <w:rFonts w:ascii="Times New Roman" w:hAnsi="Times New Roman" w:cs="Times New Roman"/>
        </w:rPr>
        <w:t xml:space="preserve"> </w:t>
      </w:r>
      <w:r w:rsidRPr="001F212F">
        <w:rPr>
          <w:rFonts w:ascii="Times New Roman" w:hAnsi="Times New Roman" w:cs="Times New Roman"/>
          <w:i/>
        </w:rPr>
        <w:t xml:space="preserve">International Covenant on Civil and Political Rights, </w:t>
      </w:r>
      <w:r w:rsidRPr="001F212F">
        <w:rPr>
          <w:rFonts w:ascii="Times New Roman" w:hAnsi="Times New Roman" w:cs="Times New Roman"/>
        </w:rPr>
        <w:t>19 October 1966, 172 UNTS 1976, No. 14668</w:t>
      </w:r>
    </w:p>
  </w:footnote>
  <w:footnote w:id="63">
    <w:p w:rsidR="00D41D12" w:rsidRPr="00436091" w:rsidRDefault="00D41D12" w:rsidP="009A4E07">
      <w:pPr>
        <w:pStyle w:val="FootnoteText"/>
        <w:rPr>
          <w:rFonts w:ascii="Times New Roman" w:hAnsi="Times New Roman" w:cs="Times New Roman"/>
          <w:sz w:val="20"/>
        </w:rPr>
      </w:pPr>
      <w:r w:rsidRPr="001F212F">
        <w:rPr>
          <w:rStyle w:val="FootnoteReference"/>
          <w:rFonts w:ascii="Times New Roman" w:hAnsi="Times New Roman" w:cs="Times New Roman"/>
          <w:sz w:val="20"/>
        </w:rPr>
        <w:footnoteRef/>
      </w:r>
      <w:r w:rsidRPr="001F212F">
        <w:rPr>
          <w:rFonts w:ascii="Times New Roman" w:hAnsi="Times New Roman" w:cs="Times New Roman"/>
          <w:sz w:val="20"/>
        </w:rPr>
        <w:t xml:space="preserve"> </w:t>
      </w:r>
      <w:r w:rsidRPr="009A4E07">
        <w:rPr>
          <w:rFonts w:ascii="Times New Roman" w:hAnsi="Times New Roman" w:cs="Times New Roman"/>
          <w:i/>
          <w:szCs w:val="18"/>
        </w:rPr>
        <w:t>Convention for the Elimination of All Forms of Discrimination Against Women</w:t>
      </w:r>
      <w:r w:rsidRPr="009A4E07">
        <w:rPr>
          <w:rFonts w:ascii="Times New Roman" w:hAnsi="Times New Roman" w:cs="Times New Roman"/>
          <w:szCs w:val="18"/>
        </w:rPr>
        <w:t>, 18 December 1979,</w:t>
      </w:r>
      <w:r w:rsidRPr="009A4E07">
        <w:rPr>
          <w:szCs w:val="18"/>
        </w:rPr>
        <w:t xml:space="preserve"> </w:t>
      </w:r>
      <w:r w:rsidRPr="009A4E07">
        <w:rPr>
          <w:rFonts w:ascii="Times New Roman" w:hAnsi="Times New Roman" w:cs="Times New Roman"/>
          <w:szCs w:val="18"/>
        </w:rPr>
        <w:t>Adopted GA Res. 34/180</w:t>
      </w:r>
      <w:proofErr w:type="gramStart"/>
      <w:r>
        <w:rPr>
          <w:rFonts w:ascii="Times New Roman" w:hAnsi="Times New Roman" w:cs="Times New Roman"/>
          <w:szCs w:val="18"/>
        </w:rPr>
        <w:t>,  Art</w:t>
      </w:r>
      <w:proofErr w:type="gramEnd"/>
      <w:r w:rsidRPr="009A4E07">
        <w:rPr>
          <w:rFonts w:ascii="Times New Roman" w:hAnsi="Times New Roman" w:cs="Times New Roman"/>
          <w:szCs w:val="18"/>
        </w:rPr>
        <w:t xml:space="preserve"> 9</w:t>
      </w:r>
      <w:r>
        <w:rPr>
          <w:rFonts w:ascii="Times New Roman" w:hAnsi="Times New Roman" w:cs="Times New Roman"/>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10" w:rsidRDefault="00525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12" w:rsidRDefault="00D41D12">
    <w:pPr>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12" w:rsidRDefault="00D41D12">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12" w:rsidRDefault="00D41D1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7C"/>
    <w:multiLevelType w:val="singleLevel"/>
    <w:tmpl w:val="DAF69EDE"/>
    <w:lvl w:ilvl="0">
      <w:start w:val="1"/>
      <w:numFmt w:val="decimal"/>
      <w:lvlText w:val="%1."/>
      <w:lvlJc w:val="left"/>
      <w:pPr>
        <w:tabs>
          <w:tab w:val="num" w:pos="1800"/>
        </w:tabs>
        <w:ind w:left="1800" w:hanging="360"/>
      </w:pPr>
    </w:lvl>
  </w:abstractNum>
  <w:abstractNum w:abstractNumId="1">
    <w:nsid w:val="FFFFFF7D"/>
    <w:multiLevelType w:val="singleLevel"/>
    <w:tmpl w:val="593A7318"/>
    <w:lvl w:ilvl="0">
      <w:start w:val="1"/>
      <w:numFmt w:val="decimal"/>
      <w:lvlText w:val="%1."/>
      <w:lvlJc w:val="left"/>
      <w:pPr>
        <w:tabs>
          <w:tab w:val="num" w:pos="1440"/>
        </w:tabs>
        <w:ind w:left="1440" w:hanging="360"/>
      </w:pPr>
    </w:lvl>
  </w:abstractNum>
  <w:abstractNum w:abstractNumId="2">
    <w:nsid w:val="FFFFFF7E"/>
    <w:multiLevelType w:val="singleLevel"/>
    <w:tmpl w:val="872057BC"/>
    <w:lvl w:ilvl="0">
      <w:start w:val="1"/>
      <w:numFmt w:val="decimal"/>
      <w:lvlText w:val="%1."/>
      <w:lvlJc w:val="left"/>
      <w:pPr>
        <w:tabs>
          <w:tab w:val="num" w:pos="1080"/>
        </w:tabs>
        <w:ind w:left="1080" w:hanging="360"/>
      </w:pPr>
    </w:lvl>
  </w:abstractNum>
  <w:abstractNum w:abstractNumId="3">
    <w:nsid w:val="FFFFFF7F"/>
    <w:multiLevelType w:val="singleLevel"/>
    <w:tmpl w:val="76F28574"/>
    <w:lvl w:ilvl="0">
      <w:start w:val="1"/>
      <w:numFmt w:val="decimal"/>
      <w:lvlText w:val="%1."/>
      <w:lvlJc w:val="left"/>
      <w:pPr>
        <w:tabs>
          <w:tab w:val="num" w:pos="720"/>
        </w:tabs>
        <w:ind w:left="720" w:hanging="360"/>
      </w:pPr>
    </w:lvl>
  </w:abstractNum>
  <w:abstractNum w:abstractNumId="4">
    <w:nsid w:val="FFFFFF80"/>
    <w:multiLevelType w:val="singleLevel"/>
    <w:tmpl w:val="0F92D1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A8FA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527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C0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C2FBC2"/>
    <w:lvl w:ilvl="0">
      <w:start w:val="1"/>
      <w:numFmt w:val="decimal"/>
      <w:lvlText w:val="%1."/>
      <w:lvlJc w:val="left"/>
      <w:pPr>
        <w:tabs>
          <w:tab w:val="num" w:pos="360"/>
        </w:tabs>
        <w:ind w:left="360" w:hanging="360"/>
      </w:pPr>
    </w:lvl>
  </w:abstractNum>
  <w:abstractNum w:abstractNumId="9">
    <w:nsid w:val="FFFFFF89"/>
    <w:multiLevelType w:val="singleLevel"/>
    <w:tmpl w:val="D57EF782"/>
    <w:lvl w:ilvl="0">
      <w:start w:val="1"/>
      <w:numFmt w:val="bullet"/>
      <w:lvlText w:val=""/>
      <w:lvlJc w:val="left"/>
      <w:pPr>
        <w:tabs>
          <w:tab w:val="num" w:pos="360"/>
        </w:tabs>
        <w:ind w:left="360" w:hanging="360"/>
      </w:pPr>
      <w:rPr>
        <w:rFonts w:ascii="Symbol" w:hAnsi="Symbol" w:hint="default"/>
      </w:rPr>
    </w:lvl>
  </w:abstractNum>
  <w:abstractNum w:abstractNumId="10">
    <w:nsid w:val="01926BB3"/>
    <w:multiLevelType w:val="hybridMultilevel"/>
    <w:tmpl w:val="F2F4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A90E7C"/>
    <w:multiLevelType w:val="hybridMultilevel"/>
    <w:tmpl w:val="CED8F38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07340767"/>
    <w:multiLevelType w:val="hybridMultilevel"/>
    <w:tmpl w:val="53D441D6"/>
    <w:lvl w:ilvl="0" w:tplc="8766C324">
      <w:start w:val="1"/>
      <w:numFmt w:val="decimal"/>
      <w:lvlText w:val="%1."/>
      <w:lvlJc w:val="left"/>
      <w:pPr>
        <w:tabs>
          <w:tab w:val="num" w:pos="2160"/>
        </w:tabs>
        <w:ind w:left="2160" w:hanging="360"/>
      </w:pPr>
      <w:rPr>
        <w:rFonts w:cs="Times New Roman"/>
        <w:b w:val="0"/>
        <w:i w:val="0"/>
      </w:rPr>
    </w:lvl>
    <w:lvl w:ilvl="1" w:tplc="10090001">
      <w:start w:val="1"/>
      <w:numFmt w:val="bullet"/>
      <w:lvlText w:val=""/>
      <w:lvlJc w:val="left"/>
      <w:pPr>
        <w:tabs>
          <w:tab w:val="num" w:pos="1800"/>
        </w:tabs>
        <w:ind w:left="1800" w:hanging="360"/>
      </w:pPr>
      <w:rPr>
        <w:rFonts w:ascii="Symbol" w:hAnsi="Symbol" w:hint="default"/>
        <w:b w:val="0"/>
        <w:i w:val="0"/>
        <w:sz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0D750089"/>
    <w:multiLevelType w:val="multilevel"/>
    <w:tmpl w:val="28A22428"/>
    <w:lvl w:ilvl="0">
      <w:start w:val="1"/>
      <w:numFmt w:val="decimal"/>
      <w:pStyle w:val="IFDNumL1"/>
      <w:lvlText w:val="%1."/>
      <w:lvlJc w:val="left"/>
      <w:pPr>
        <w:tabs>
          <w:tab w:val="num" w:pos="720"/>
        </w:tabs>
        <w:ind w:left="0" w:firstLine="0"/>
      </w:pPr>
    </w:lvl>
    <w:lvl w:ilvl="1">
      <w:start w:val="1"/>
      <w:numFmt w:val="lowerLetter"/>
      <w:pStyle w:val="IFDNumL2"/>
      <w:lvlText w:val="(%2)"/>
      <w:lvlJc w:val="left"/>
      <w:pPr>
        <w:tabs>
          <w:tab w:val="num" w:pos="1530"/>
        </w:tabs>
        <w:ind w:left="1530" w:hanging="720"/>
      </w:p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4">
    <w:nsid w:val="0F6A051E"/>
    <w:multiLevelType w:val="hybridMultilevel"/>
    <w:tmpl w:val="0BE22ED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5">
    <w:nsid w:val="15F04489"/>
    <w:multiLevelType w:val="hybridMultilevel"/>
    <w:tmpl w:val="08981414"/>
    <w:lvl w:ilvl="0" w:tplc="10090017">
      <w:start w:val="1"/>
      <w:numFmt w:val="lowerLetter"/>
      <w:lvlText w:val="%1)"/>
      <w:lvlJc w:val="left"/>
      <w:pPr>
        <w:tabs>
          <w:tab w:val="num" w:pos="1080"/>
        </w:tabs>
        <w:ind w:left="1080" w:hanging="360"/>
      </w:pPr>
      <w:rPr>
        <w:rFonts w:hint="default"/>
        <w:b w:val="0"/>
        <w:i w:val="0"/>
      </w:rPr>
    </w:lvl>
    <w:lvl w:ilvl="1" w:tplc="10090001">
      <w:start w:val="1"/>
      <w:numFmt w:val="bullet"/>
      <w:lvlText w:val=""/>
      <w:lvlJc w:val="left"/>
      <w:pPr>
        <w:tabs>
          <w:tab w:val="num" w:pos="720"/>
        </w:tabs>
        <w:ind w:left="720" w:hanging="360"/>
      </w:pPr>
      <w:rPr>
        <w:rFonts w:ascii="Symbol" w:hAnsi="Symbol" w:hint="default"/>
        <w:b w:val="0"/>
        <w:i w:val="0"/>
        <w:sz w:val="24"/>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1A532884"/>
    <w:multiLevelType w:val="hybridMultilevel"/>
    <w:tmpl w:val="223E22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1B066793"/>
    <w:multiLevelType w:val="hybridMultilevel"/>
    <w:tmpl w:val="94A2B9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1F955A9B"/>
    <w:multiLevelType w:val="multilevel"/>
    <w:tmpl w:val="19A2A90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65E2A7D"/>
    <w:multiLevelType w:val="hybridMultilevel"/>
    <w:tmpl w:val="5CEC4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79042E"/>
    <w:multiLevelType w:val="hybridMultilevel"/>
    <w:tmpl w:val="17BC0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B143F08">
      <w:start w:val="1"/>
      <w:numFmt w:val="decimal"/>
      <w:lvlText w:val="(%3)"/>
      <w:lvlJc w:val="left"/>
      <w:pPr>
        <w:tabs>
          <w:tab w:val="num" w:pos="2715"/>
        </w:tabs>
        <w:ind w:left="2715" w:hanging="735"/>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E39201F"/>
    <w:multiLevelType w:val="hybridMultilevel"/>
    <w:tmpl w:val="FDBE072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nsid w:val="56F957B2"/>
    <w:multiLevelType w:val="hybridMultilevel"/>
    <w:tmpl w:val="0F1054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B9B0884"/>
    <w:multiLevelType w:val="singleLevel"/>
    <w:tmpl w:val="F02EB61A"/>
    <w:lvl w:ilvl="0">
      <w:start w:val="1"/>
      <w:numFmt w:val="decimal"/>
      <w:lvlText w:val="%1."/>
      <w:lvlJc w:val="left"/>
      <w:pPr>
        <w:tabs>
          <w:tab w:val="num" w:pos="720"/>
        </w:tabs>
        <w:ind w:left="720" w:hanging="720"/>
      </w:pPr>
    </w:lvl>
  </w:abstractNum>
  <w:abstractNum w:abstractNumId="24">
    <w:nsid w:val="5FED6490"/>
    <w:multiLevelType w:val="multilevel"/>
    <w:tmpl w:val="138A06AA"/>
    <w:name w:val="Unknown A-42604822A-X"/>
    <w:lvl w:ilvl="0">
      <w:start w:val="1"/>
      <w:numFmt w:val="decimal"/>
      <w:pStyle w:val="FactumBodyL1"/>
      <w:lvlText w:val="%1."/>
      <w:lvlJc w:val="left"/>
      <w:pPr>
        <w:tabs>
          <w:tab w:val="num" w:pos="720"/>
        </w:tabs>
        <w:ind w:left="720" w:hanging="720"/>
      </w:pPr>
      <w:rPr>
        <w:rFonts w:ascii="Times New Roman" w:hAnsi="Times New Roman" w:cs="Times New Roman" w:hint="default"/>
        <w:b w:val="0"/>
        <w:sz w:val="24"/>
        <w:szCs w:val="24"/>
      </w:rPr>
    </w:lvl>
    <w:lvl w:ilvl="1">
      <w:start w:val="1"/>
      <w:numFmt w:val="lowerLetter"/>
      <w:pStyle w:val="FactumBodyL2"/>
      <w:lvlText w:val="(%2)"/>
      <w:lvlJc w:val="left"/>
      <w:pPr>
        <w:tabs>
          <w:tab w:val="num" w:pos="1440"/>
        </w:tabs>
        <w:ind w:left="720" w:firstLine="0"/>
      </w:pPr>
    </w:lvl>
    <w:lvl w:ilvl="2">
      <w:start w:val="1"/>
      <w:numFmt w:val="lowerRoman"/>
      <w:pStyle w:val="FactumBodyL3"/>
      <w:lvlText w:val="(%3)"/>
      <w:lvlJc w:val="left"/>
      <w:pPr>
        <w:tabs>
          <w:tab w:val="num" w:pos="2160"/>
        </w:tabs>
        <w:ind w:left="2160" w:hanging="720"/>
      </w:pPr>
    </w:lvl>
    <w:lvl w:ilvl="3">
      <w:start w:val="1"/>
      <w:numFmt w:val="decimal"/>
      <w:pStyle w:val="FactumBodyL4"/>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25">
    <w:nsid w:val="6F8350F3"/>
    <w:multiLevelType w:val="singleLevel"/>
    <w:tmpl w:val="F02EB61A"/>
    <w:lvl w:ilvl="0">
      <w:start w:val="1"/>
      <w:numFmt w:val="decimal"/>
      <w:lvlText w:val="%1."/>
      <w:lvlJc w:val="left"/>
      <w:pPr>
        <w:tabs>
          <w:tab w:val="num" w:pos="720"/>
        </w:tabs>
        <w:ind w:left="720" w:hanging="720"/>
      </w:pPr>
    </w:lvl>
  </w:abstractNum>
  <w:abstractNum w:abstractNumId="26">
    <w:nsid w:val="70757BD5"/>
    <w:multiLevelType w:val="hybridMultilevel"/>
    <w:tmpl w:val="F02A1AF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nsid w:val="73C52D5E"/>
    <w:multiLevelType w:val="multilevel"/>
    <w:tmpl w:val="C65A15F4"/>
    <w:name w:val="FactumA"/>
    <w:lvl w:ilvl="0">
      <w:start w:val="1"/>
      <w:numFmt w:val="upperRoman"/>
      <w:pStyle w:val="FactumHeadingL1"/>
      <w:suff w:val="nothing"/>
      <w:lvlText w:val="PART %1 - "/>
      <w:lvlJc w:val="left"/>
      <w:pPr>
        <w:ind w:left="0" w:firstLine="0"/>
      </w:pPr>
      <w:rPr>
        <w:rFonts w:hint="default"/>
      </w:rPr>
    </w:lvl>
    <w:lvl w:ilvl="1">
      <w:start w:val="1"/>
      <w:numFmt w:val="upperLetter"/>
      <w:pStyle w:val="FactumHeadingL2"/>
      <w:lvlText w:val="%2."/>
      <w:lvlJc w:val="left"/>
      <w:pPr>
        <w:tabs>
          <w:tab w:val="num" w:pos="720"/>
        </w:tabs>
        <w:ind w:left="720" w:hanging="720"/>
      </w:pPr>
      <w:rPr>
        <w:rFonts w:hint="default"/>
      </w:rPr>
    </w:lvl>
    <w:lvl w:ilvl="2">
      <w:start w:val="1"/>
      <w:numFmt w:val="lowerRoman"/>
      <w:pStyle w:val="FactumHeadingL3"/>
      <w:lvlText w:val="%3."/>
      <w:lvlJc w:val="left"/>
      <w:pPr>
        <w:tabs>
          <w:tab w:val="num" w:pos="1440"/>
        </w:tabs>
        <w:ind w:left="1440" w:hanging="720"/>
      </w:pPr>
      <w:rPr>
        <w:rFonts w:hint="default"/>
      </w:rPr>
    </w:lvl>
    <w:lvl w:ilvl="3">
      <w:start w:val="1"/>
      <w:numFmt w:val="decimal"/>
      <w:lvlRestart w:val="0"/>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upperRoman"/>
      <w:lvlText w:val="(%9)"/>
      <w:lvlJc w:val="left"/>
      <w:pPr>
        <w:tabs>
          <w:tab w:val="num" w:pos="5040"/>
        </w:tabs>
        <w:ind w:left="5040" w:hanging="720"/>
      </w:pPr>
      <w:rPr>
        <w:rFonts w:hint="default"/>
      </w:rPr>
    </w:lvl>
  </w:abstractNum>
  <w:abstractNum w:abstractNumId="28">
    <w:nsid w:val="74CD2789"/>
    <w:multiLevelType w:val="singleLevel"/>
    <w:tmpl w:val="85300994"/>
    <w:name w:val="Bullet"/>
    <w:lvl w:ilvl="0">
      <w:start w:val="1"/>
      <w:numFmt w:val="bullet"/>
      <w:pStyle w:val="Bullet"/>
      <w:lvlText w:val=""/>
      <w:lvlJc w:val="left"/>
      <w:pPr>
        <w:tabs>
          <w:tab w:val="num" w:pos="720"/>
        </w:tabs>
        <w:ind w:left="720" w:hanging="720"/>
      </w:pPr>
      <w:rPr>
        <w:rFonts w:ascii="Symbol" w:hAnsi="Symbol" w:hint="default"/>
        <w:b w:val="0"/>
        <w:i w:val="0"/>
        <w:sz w:val="24"/>
      </w:rPr>
    </w:lvl>
  </w:abstractNum>
  <w:abstractNum w:abstractNumId="29">
    <w:nsid w:val="760B4DA3"/>
    <w:multiLevelType w:val="hybridMultilevel"/>
    <w:tmpl w:val="4BC405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7194C5A"/>
    <w:multiLevelType w:val="multilevel"/>
    <w:tmpl w:val="8594DF0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E2A60B6"/>
    <w:multiLevelType w:val="multilevel"/>
    <w:tmpl w:val="C256F04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F510C02"/>
    <w:multiLevelType w:val="hybridMultilevel"/>
    <w:tmpl w:val="99CE054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24"/>
  </w:num>
  <w:num w:numId="15">
    <w:abstractNumId w:val="24"/>
  </w:num>
  <w:num w:numId="16">
    <w:abstractNumId w:val="27"/>
  </w:num>
  <w:num w:numId="17">
    <w:abstractNumId w:val="23"/>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6"/>
  </w:num>
  <w:num w:numId="23">
    <w:abstractNumId w:val="21"/>
  </w:num>
  <w:num w:numId="24">
    <w:abstractNumId w:val="29"/>
  </w:num>
  <w:num w:numId="25">
    <w:abstractNumId w:val="12"/>
  </w:num>
  <w:num w:numId="26">
    <w:abstractNumId w:val="11"/>
  </w:num>
  <w:num w:numId="27">
    <w:abstractNumId w:val="19"/>
  </w:num>
  <w:num w:numId="28">
    <w:abstractNumId w:val="26"/>
  </w:num>
  <w:num w:numId="29">
    <w:abstractNumId w:val="32"/>
  </w:num>
  <w:num w:numId="30">
    <w:abstractNumId w:val="22"/>
  </w:num>
  <w:num w:numId="31">
    <w:abstractNumId w:val="14"/>
  </w:num>
  <w:num w:numId="32">
    <w:abstractNumId w:val="30"/>
  </w:num>
  <w:num w:numId="33">
    <w:abstractNumId w:val="18"/>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Stanton">
    <w15:presenceInfo w15:providerId="Windows Live" w15:userId="c02361e9f156b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fowareListDefs" w:val="Unknown A-42604822A-Factum Body L-0-4-X"/>
    <w:docVar w:name="InfowareListDefsFriendly" w:val="Unknown A"/>
    <w:docVar w:name="PaperType" w:val="plain"/>
  </w:docVars>
  <w:rsids>
    <w:rsidRoot w:val="008F1A76"/>
    <w:rsid w:val="0000054D"/>
    <w:rsid w:val="00001C25"/>
    <w:rsid w:val="000023BB"/>
    <w:rsid w:val="0000247E"/>
    <w:rsid w:val="000072CF"/>
    <w:rsid w:val="00010D25"/>
    <w:rsid w:val="00011836"/>
    <w:rsid w:val="000118F2"/>
    <w:rsid w:val="00011E4D"/>
    <w:rsid w:val="00012FB1"/>
    <w:rsid w:val="0001407A"/>
    <w:rsid w:val="00015B33"/>
    <w:rsid w:val="00016FC6"/>
    <w:rsid w:val="0002397E"/>
    <w:rsid w:val="00032D33"/>
    <w:rsid w:val="00033C07"/>
    <w:rsid w:val="00036B83"/>
    <w:rsid w:val="0004209F"/>
    <w:rsid w:val="000434F1"/>
    <w:rsid w:val="000436BE"/>
    <w:rsid w:val="000439E4"/>
    <w:rsid w:val="00046CF1"/>
    <w:rsid w:val="00047DE5"/>
    <w:rsid w:val="000539BD"/>
    <w:rsid w:val="000558D6"/>
    <w:rsid w:val="0005688E"/>
    <w:rsid w:val="00057420"/>
    <w:rsid w:val="00057505"/>
    <w:rsid w:val="00065CE8"/>
    <w:rsid w:val="00066355"/>
    <w:rsid w:val="00067CA5"/>
    <w:rsid w:val="000711C6"/>
    <w:rsid w:val="00072F85"/>
    <w:rsid w:val="00073D6D"/>
    <w:rsid w:val="000800F6"/>
    <w:rsid w:val="00080803"/>
    <w:rsid w:val="00081A27"/>
    <w:rsid w:val="00083553"/>
    <w:rsid w:val="00086086"/>
    <w:rsid w:val="00087341"/>
    <w:rsid w:val="00090F56"/>
    <w:rsid w:val="00092A8E"/>
    <w:rsid w:val="00096FF7"/>
    <w:rsid w:val="000A1B5E"/>
    <w:rsid w:val="000A41C0"/>
    <w:rsid w:val="000A41DB"/>
    <w:rsid w:val="000A488C"/>
    <w:rsid w:val="000B07D5"/>
    <w:rsid w:val="000B2D60"/>
    <w:rsid w:val="000B2EEB"/>
    <w:rsid w:val="000B455D"/>
    <w:rsid w:val="000B61F4"/>
    <w:rsid w:val="000B6EC0"/>
    <w:rsid w:val="000B723C"/>
    <w:rsid w:val="000B7A33"/>
    <w:rsid w:val="000C0B77"/>
    <w:rsid w:val="000C15D3"/>
    <w:rsid w:val="000C2B83"/>
    <w:rsid w:val="000D08E6"/>
    <w:rsid w:val="000D16CF"/>
    <w:rsid w:val="000D30C9"/>
    <w:rsid w:val="000D602D"/>
    <w:rsid w:val="000E2F43"/>
    <w:rsid w:val="000E49E5"/>
    <w:rsid w:val="000E51D1"/>
    <w:rsid w:val="000E59B6"/>
    <w:rsid w:val="000E5D01"/>
    <w:rsid w:val="000E7211"/>
    <w:rsid w:val="000E72F1"/>
    <w:rsid w:val="000F10B8"/>
    <w:rsid w:val="000F227D"/>
    <w:rsid w:val="000F3684"/>
    <w:rsid w:val="000F38E6"/>
    <w:rsid w:val="000F49AD"/>
    <w:rsid w:val="000F56C8"/>
    <w:rsid w:val="000F6B62"/>
    <w:rsid w:val="000F7D6F"/>
    <w:rsid w:val="00101A69"/>
    <w:rsid w:val="00101D57"/>
    <w:rsid w:val="001060BE"/>
    <w:rsid w:val="00112D64"/>
    <w:rsid w:val="00112F67"/>
    <w:rsid w:val="00113AF7"/>
    <w:rsid w:val="00117203"/>
    <w:rsid w:val="001227A2"/>
    <w:rsid w:val="00124D43"/>
    <w:rsid w:val="00127FE0"/>
    <w:rsid w:val="00132642"/>
    <w:rsid w:val="00142DCB"/>
    <w:rsid w:val="001431E6"/>
    <w:rsid w:val="0014728B"/>
    <w:rsid w:val="00147DB6"/>
    <w:rsid w:val="001511A0"/>
    <w:rsid w:val="001631D5"/>
    <w:rsid w:val="00163FD7"/>
    <w:rsid w:val="00166F32"/>
    <w:rsid w:val="00167237"/>
    <w:rsid w:val="001717D6"/>
    <w:rsid w:val="00175342"/>
    <w:rsid w:val="00176282"/>
    <w:rsid w:val="00180174"/>
    <w:rsid w:val="00183141"/>
    <w:rsid w:val="00183A32"/>
    <w:rsid w:val="00185CCA"/>
    <w:rsid w:val="00186513"/>
    <w:rsid w:val="00190F07"/>
    <w:rsid w:val="001921B8"/>
    <w:rsid w:val="00197DB2"/>
    <w:rsid w:val="001A1C3C"/>
    <w:rsid w:val="001A2FD1"/>
    <w:rsid w:val="001A3D7E"/>
    <w:rsid w:val="001A422D"/>
    <w:rsid w:val="001A47B6"/>
    <w:rsid w:val="001A5A9A"/>
    <w:rsid w:val="001A5BFF"/>
    <w:rsid w:val="001A6CF7"/>
    <w:rsid w:val="001A6DC9"/>
    <w:rsid w:val="001A76B9"/>
    <w:rsid w:val="001A7F12"/>
    <w:rsid w:val="001B0FF9"/>
    <w:rsid w:val="001B1DF2"/>
    <w:rsid w:val="001B7E19"/>
    <w:rsid w:val="001C41E6"/>
    <w:rsid w:val="001C5AA9"/>
    <w:rsid w:val="001C63C3"/>
    <w:rsid w:val="001C7C79"/>
    <w:rsid w:val="001D3E6A"/>
    <w:rsid w:val="001D6BCF"/>
    <w:rsid w:val="001E093A"/>
    <w:rsid w:val="001E336A"/>
    <w:rsid w:val="001E68EC"/>
    <w:rsid w:val="001E6B90"/>
    <w:rsid w:val="001E75DB"/>
    <w:rsid w:val="001E7882"/>
    <w:rsid w:val="001F1301"/>
    <w:rsid w:val="001F212F"/>
    <w:rsid w:val="001F61C1"/>
    <w:rsid w:val="001F6229"/>
    <w:rsid w:val="001F7730"/>
    <w:rsid w:val="001F7775"/>
    <w:rsid w:val="00200C39"/>
    <w:rsid w:val="00201C0B"/>
    <w:rsid w:val="002021FA"/>
    <w:rsid w:val="002055A5"/>
    <w:rsid w:val="00205640"/>
    <w:rsid w:val="0020634D"/>
    <w:rsid w:val="002105B2"/>
    <w:rsid w:val="00210CB3"/>
    <w:rsid w:val="00212C6C"/>
    <w:rsid w:val="00215ADC"/>
    <w:rsid w:val="00215D1C"/>
    <w:rsid w:val="0021691B"/>
    <w:rsid w:val="00226483"/>
    <w:rsid w:val="0023063F"/>
    <w:rsid w:val="00235A47"/>
    <w:rsid w:val="00240FBD"/>
    <w:rsid w:val="0024152F"/>
    <w:rsid w:val="00241E31"/>
    <w:rsid w:val="00243CAF"/>
    <w:rsid w:val="00245226"/>
    <w:rsid w:val="00246980"/>
    <w:rsid w:val="00250503"/>
    <w:rsid w:val="00251F34"/>
    <w:rsid w:val="00256FA6"/>
    <w:rsid w:val="0026272E"/>
    <w:rsid w:val="00262FE6"/>
    <w:rsid w:val="0026667F"/>
    <w:rsid w:val="00273F48"/>
    <w:rsid w:val="00275763"/>
    <w:rsid w:val="00277C27"/>
    <w:rsid w:val="002819F9"/>
    <w:rsid w:val="002843E3"/>
    <w:rsid w:val="00284596"/>
    <w:rsid w:val="00284777"/>
    <w:rsid w:val="0028535C"/>
    <w:rsid w:val="00287B0E"/>
    <w:rsid w:val="00291158"/>
    <w:rsid w:val="00291E34"/>
    <w:rsid w:val="00294DF2"/>
    <w:rsid w:val="00296378"/>
    <w:rsid w:val="002971BE"/>
    <w:rsid w:val="002A1EF5"/>
    <w:rsid w:val="002A20EA"/>
    <w:rsid w:val="002A28CA"/>
    <w:rsid w:val="002A465F"/>
    <w:rsid w:val="002A7875"/>
    <w:rsid w:val="002B3005"/>
    <w:rsid w:val="002B56E0"/>
    <w:rsid w:val="002C393C"/>
    <w:rsid w:val="002C4084"/>
    <w:rsid w:val="002C4864"/>
    <w:rsid w:val="002C57C0"/>
    <w:rsid w:val="002C7152"/>
    <w:rsid w:val="002C7A25"/>
    <w:rsid w:val="002D5C11"/>
    <w:rsid w:val="002D63B9"/>
    <w:rsid w:val="002E0D96"/>
    <w:rsid w:val="002E382B"/>
    <w:rsid w:val="002E4842"/>
    <w:rsid w:val="002E48FB"/>
    <w:rsid w:val="002F1AB5"/>
    <w:rsid w:val="002F4CCA"/>
    <w:rsid w:val="002F4F34"/>
    <w:rsid w:val="002F5BB0"/>
    <w:rsid w:val="002F7C9A"/>
    <w:rsid w:val="00305C60"/>
    <w:rsid w:val="0030650A"/>
    <w:rsid w:val="0030713F"/>
    <w:rsid w:val="0030749B"/>
    <w:rsid w:val="00310BE5"/>
    <w:rsid w:val="0031575B"/>
    <w:rsid w:val="00317016"/>
    <w:rsid w:val="00322A52"/>
    <w:rsid w:val="00323170"/>
    <w:rsid w:val="00324B6A"/>
    <w:rsid w:val="00325040"/>
    <w:rsid w:val="0032740C"/>
    <w:rsid w:val="003279FE"/>
    <w:rsid w:val="003335AD"/>
    <w:rsid w:val="00336822"/>
    <w:rsid w:val="00344D3F"/>
    <w:rsid w:val="0034719E"/>
    <w:rsid w:val="003500A3"/>
    <w:rsid w:val="003525FD"/>
    <w:rsid w:val="00355648"/>
    <w:rsid w:val="003564A1"/>
    <w:rsid w:val="0036045E"/>
    <w:rsid w:val="0036084F"/>
    <w:rsid w:val="00361A83"/>
    <w:rsid w:val="003657ED"/>
    <w:rsid w:val="003711F0"/>
    <w:rsid w:val="003714FE"/>
    <w:rsid w:val="00371691"/>
    <w:rsid w:val="00374EB0"/>
    <w:rsid w:val="003759F5"/>
    <w:rsid w:val="00375BA8"/>
    <w:rsid w:val="0037774D"/>
    <w:rsid w:val="00377986"/>
    <w:rsid w:val="00381744"/>
    <w:rsid w:val="00383FF4"/>
    <w:rsid w:val="0039055B"/>
    <w:rsid w:val="003906FE"/>
    <w:rsid w:val="00390973"/>
    <w:rsid w:val="00391216"/>
    <w:rsid w:val="0039177D"/>
    <w:rsid w:val="00392C20"/>
    <w:rsid w:val="0039506B"/>
    <w:rsid w:val="003A0B34"/>
    <w:rsid w:val="003A2ADF"/>
    <w:rsid w:val="003A5BB9"/>
    <w:rsid w:val="003A6807"/>
    <w:rsid w:val="003B0103"/>
    <w:rsid w:val="003B05D8"/>
    <w:rsid w:val="003B44A1"/>
    <w:rsid w:val="003B54F9"/>
    <w:rsid w:val="003B5FAE"/>
    <w:rsid w:val="003B6DDC"/>
    <w:rsid w:val="003C1916"/>
    <w:rsid w:val="003C3B18"/>
    <w:rsid w:val="003C5609"/>
    <w:rsid w:val="003C5B92"/>
    <w:rsid w:val="003C67B7"/>
    <w:rsid w:val="003C6885"/>
    <w:rsid w:val="003C6CFA"/>
    <w:rsid w:val="003D0EE2"/>
    <w:rsid w:val="003D20B5"/>
    <w:rsid w:val="003D26FC"/>
    <w:rsid w:val="003D589B"/>
    <w:rsid w:val="003E1872"/>
    <w:rsid w:val="003E2073"/>
    <w:rsid w:val="003E31BF"/>
    <w:rsid w:val="003E59CA"/>
    <w:rsid w:val="003F04C0"/>
    <w:rsid w:val="003F557B"/>
    <w:rsid w:val="0040018F"/>
    <w:rsid w:val="00400546"/>
    <w:rsid w:val="004007D4"/>
    <w:rsid w:val="00401F00"/>
    <w:rsid w:val="004035DA"/>
    <w:rsid w:val="00403EB8"/>
    <w:rsid w:val="00412198"/>
    <w:rsid w:val="00416EBE"/>
    <w:rsid w:val="00423F42"/>
    <w:rsid w:val="0042495E"/>
    <w:rsid w:val="004251D7"/>
    <w:rsid w:val="00430AFB"/>
    <w:rsid w:val="00430CB1"/>
    <w:rsid w:val="00431A33"/>
    <w:rsid w:val="004325E6"/>
    <w:rsid w:val="0043551F"/>
    <w:rsid w:val="00435819"/>
    <w:rsid w:val="00436091"/>
    <w:rsid w:val="00440454"/>
    <w:rsid w:val="0044294D"/>
    <w:rsid w:val="00444092"/>
    <w:rsid w:val="004457E3"/>
    <w:rsid w:val="00451046"/>
    <w:rsid w:val="00451F46"/>
    <w:rsid w:val="00452946"/>
    <w:rsid w:val="00453CF6"/>
    <w:rsid w:val="00455BF6"/>
    <w:rsid w:val="00457872"/>
    <w:rsid w:val="00462947"/>
    <w:rsid w:val="00464863"/>
    <w:rsid w:val="00464E8B"/>
    <w:rsid w:val="004656CE"/>
    <w:rsid w:val="00465F96"/>
    <w:rsid w:val="00465FFF"/>
    <w:rsid w:val="004722F5"/>
    <w:rsid w:val="00474201"/>
    <w:rsid w:val="00475672"/>
    <w:rsid w:val="004801F8"/>
    <w:rsid w:val="00481603"/>
    <w:rsid w:val="00481666"/>
    <w:rsid w:val="00483CB9"/>
    <w:rsid w:val="004906B8"/>
    <w:rsid w:val="0049295E"/>
    <w:rsid w:val="00495187"/>
    <w:rsid w:val="00496F44"/>
    <w:rsid w:val="0049762C"/>
    <w:rsid w:val="004A2902"/>
    <w:rsid w:val="004A51A5"/>
    <w:rsid w:val="004A62E6"/>
    <w:rsid w:val="004B03EE"/>
    <w:rsid w:val="004B1307"/>
    <w:rsid w:val="004B4003"/>
    <w:rsid w:val="004B6CC0"/>
    <w:rsid w:val="004C10A7"/>
    <w:rsid w:val="004C405F"/>
    <w:rsid w:val="004C75F5"/>
    <w:rsid w:val="004D1961"/>
    <w:rsid w:val="004D2F02"/>
    <w:rsid w:val="004D31B4"/>
    <w:rsid w:val="004D3328"/>
    <w:rsid w:val="004D47C3"/>
    <w:rsid w:val="004D59B1"/>
    <w:rsid w:val="004D5D1D"/>
    <w:rsid w:val="004D70B2"/>
    <w:rsid w:val="004E1444"/>
    <w:rsid w:val="004E25D2"/>
    <w:rsid w:val="004E3001"/>
    <w:rsid w:val="004E512C"/>
    <w:rsid w:val="004F0A2C"/>
    <w:rsid w:val="004F2CCE"/>
    <w:rsid w:val="004F3AED"/>
    <w:rsid w:val="004F3BFE"/>
    <w:rsid w:val="004F42C3"/>
    <w:rsid w:val="004F5B98"/>
    <w:rsid w:val="00501355"/>
    <w:rsid w:val="0050346D"/>
    <w:rsid w:val="00504BB4"/>
    <w:rsid w:val="00504D86"/>
    <w:rsid w:val="00505079"/>
    <w:rsid w:val="005068A5"/>
    <w:rsid w:val="00506F10"/>
    <w:rsid w:val="00512927"/>
    <w:rsid w:val="00512AA2"/>
    <w:rsid w:val="0051355B"/>
    <w:rsid w:val="00514629"/>
    <w:rsid w:val="005160D4"/>
    <w:rsid w:val="00516EF3"/>
    <w:rsid w:val="00520CFC"/>
    <w:rsid w:val="00521404"/>
    <w:rsid w:val="00522496"/>
    <w:rsid w:val="005241AA"/>
    <w:rsid w:val="00524370"/>
    <w:rsid w:val="00525010"/>
    <w:rsid w:val="005274B3"/>
    <w:rsid w:val="005317EB"/>
    <w:rsid w:val="00531B2D"/>
    <w:rsid w:val="00533179"/>
    <w:rsid w:val="00533562"/>
    <w:rsid w:val="005362A3"/>
    <w:rsid w:val="00540E63"/>
    <w:rsid w:val="0054115E"/>
    <w:rsid w:val="005424A6"/>
    <w:rsid w:val="0054408F"/>
    <w:rsid w:val="0054434C"/>
    <w:rsid w:val="00547283"/>
    <w:rsid w:val="00552473"/>
    <w:rsid w:val="0055430A"/>
    <w:rsid w:val="0055448A"/>
    <w:rsid w:val="00554C8D"/>
    <w:rsid w:val="00555994"/>
    <w:rsid w:val="00561C6A"/>
    <w:rsid w:val="005636F8"/>
    <w:rsid w:val="00563B86"/>
    <w:rsid w:val="00565DFE"/>
    <w:rsid w:val="00566F73"/>
    <w:rsid w:val="00572284"/>
    <w:rsid w:val="00573CFC"/>
    <w:rsid w:val="00574BEC"/>
    <w:rsid w:val="00575AC6"/>
    <w:rsid w:val="00577B5D"/>
    <w:rsid w:val="00577E64"/>
    <w:rsid w:val="00580061"/>
    <w:rsid w:val="005801B4"/>
    <w:rsid w:val="00583110"/>
    <w:rsid w:val="0058563B"/>
    <w:rsid w:val="0058576E"/>
    <w:rsid w:val="00587E6C"/>
    <w:rsid w:val="00590F34"/>
    <w:rsid w:val="00592577"/>
    <w:rsid w:val="00593503"/>
    <w:rsid w:val="00593BBB"/>
    <w:rsid w:val="00595F7F"/>
    <w:rsid w:val="0059603B"/>
    <w:rsid w:val="005A112F"/>
    <w:rsid w:val="005A1AAA"/>
    <w:rsid w:val="005A53BE"/>
    <w:rsid w:val="005A5644"/>
    <w:rsid w:val="005B0332"/>
    <w:rsid w:val="005B458D"/>
    <w:rsid w:val="005B5FE5"/>
    <w:rsid w:val="005C120F"/>
    <w:rsid w:val="005C6231"/>
    <w:rsid w:val="005D5015"/>
    <w:rsid w:val="005D507F"/>
    <w:rsid w:val="005D6264"/>
    <w:rsid w:val="005E2322"/>
    <w:rsid w:val="005E282A"/>
    <w:rsid w:val="005E378E"/>
    <w:rsid w:val="005E6D5C"/>
    <w:rsid w:val="005E6DFD"/>
    <w:rsid w:val="005F1B4D"/>
    <w:rsid w:val="005F2BBB"/>
    <w:rsid w:val="005F4663"/>
    <w:rsid w:val="005F4D00"/>
    <w:rsid w:val="005F58AF"/>
    <w:rsid w:val="005F61BA"/>
    <w:rsid w:val="005F78FB"/>
    <w:rsid w:val="005F7A1D"/>
    <w:rsid w:val="005F7C24"/>
    <w:rsid w:val="00606B30"/>
    <w:rsid w:val="006100CF"/>
    <w:rsid w:val="006121EC"/>
    <w:rsid w:val="00617520"/>
    <w:rsid w:val="00617731"/>
    <w:rsid w:val="0062245F"/>
    <w:rsid w:val="00622B8D"/>
    <w:rsid w:val="006236CA"/>
    <w:rsid w:val="0062566E"/>
    <w:rsid w:val="006275A3"/>
    <w:rsid w:val="00627F8D"/>
    <w:rsid w:val="0063019B"/>
    <w:rsid w:val="00632D12"/>
    <w:rsid w:val="00634DE3"/>
    <w:rsid w:val="00644F6C"/>
    <w:rsid w:val="00647657"/>
    <w:rsid w:val="00647900"/>
    <w:rsid w:val="00647A42"/>
    <w:rsid w:val="00654F89"/>
    <w:rsid w:val="00655AAE"/>
    <w:rsid w:val="00656876"/>
    <w:rsid w:val="006618C8"/>
    <w:rsid w:val="00661C96"/>
    <w:rsid w:val="0066567D"/>
    <w:rsid w:val="006678E2"/>
    <w:rsid w:val="00671B32"/>
    <w:rsid w:val="00673B42"/>
    <w:rsid w:val="006756D9"/>
    <w:rsid w:val="00675D77"/>
    <w:rsid w:val="00676A07"/>
    <w:rsid w:val="00676D8C"/>
    <w:rsid w:val="00680F6F"/>
    <w:rsid w:val="00681193"/>
    <w:rsid w:val="00684F3F"/>
    <w:rsid w:val="00685C1F"/>
    <w:rsid w:val="00686079"/>
    <w:rsid w:val="00686BFD"/>
    <w:rsid w:val="0069161E"/>
    <w:rsid w:val="00693695"/>
    <w:rsid w:val="00693D69"/>
    <w:rsid w:val="00697436"/>
    <w:rsid w:val="006A196F"/>
    <w:rsid w:val="006A2124"/>
    <w:rsid w:val="006A2299"/>
    <w:rsid w:val="006A53C4"/>
    <w:rsid w:val="006A5D19"/>
    <w:rsid w:val="006A6853"/>
    <w:rsid w:val="006A799F"/>
    <w:rsid w:val="006B1386"/>
    <w:rsid w:val="006C393F"/>
    <w:rsid w:val="006C4D59"/>
    <w:rsid w:val="006C5BD3"/>
    <w:rsid w:val="006C6CA1"/>
    <w:rsid w:val="006D2E47"/>
    <w:rsid w:val="006D6F0F"/>
    <w:rsid w:val="006D7B61"/>
    <w:rsid w:val="006E2510"/>
    <w:rsid w:val="006E26BE"/>
    <w:rsid w:val="006E2A80"/>
    <w:rsid w:val="006F0CB6"/>
    <w:rsid w:val="006F4F9A"/>
    <w:rsid w:val="006F602C"/>
    <w:rsid w:val="0070185B"/>
    <w:rsid w:val="0070237B"/>
    <w:rsid w:val="00710794"/>
    <w:rsid w:val="00715083"/>
    <w:rsid w:val="0071709E"/>
    <w:rsid w:val="00721868"/>
    <w:rsid w:val="007245D6"/>
    <w:rsid w:val="00724F9A"/>
    <w:rsid w:val="00726396"/>
    <w:rsid w:val="0072765B"/>
    <w:rsid w:val="007306A3"/>
    <w:rsid w:val="0073239B"/>
    <w:rsid w:val="00732B6E"/>
    <w:rsid w:val="00734026"/>
    <w:rsid w:val="00734CE1"/>
    <w:rsid w:val="00735B86"/>
    <w:rsid w:val="00735D12"/>
    <w:rsid w:val="00736047"/>
    <w:rsid w:val="0074345D"/>
    <w:rsid w:val="00750403"/>
    <w:rsid w:val="00750627"/>
    <w:rsid w:val="007527DE"/>
    <w:rsid w:val="00756E78"/>
    <w:rsid w:val="00757FCA"/>
    <w:rsid w:val="0076094A"/>
    <w:rsid w:val="007614CF"/>
    <w:rsid w:val="00761956"/>
    <w:rsid w:val="0076341D"/>
    <w:rsid w:val="00765151"/>
    <w:rsid w:val="00767C27"/>
    <w:rsid w:val="00770786"/>
    <w:rsid w:val="007760D0"/>
    <w:rsid w:val="007810C3"/>
    <w:rsid w:val="00781B92"/>
    <w:rsid w:val="00784785"/>
    <w:rsid w:val="00786AD8"/>
    <w:rsid w:val="00792168"/>
    <w:rsid w:val="00796287"/>
    <w:rsid w:val="00797122"/>
    <w:rsid w:val="00797357"/>
    <w:rsid w:val="007A03E8"/>
    <w:rsid w:val="007A0E95"/>
    <w:rsid w:val="007A66E3"/>
    <w:rsid w:val="007B0601"/>
    <w:rsid w:val="007B1F50"/>
    <w:rsid w:val="007B2974"/>
    <w:rsid w:val="007B2BEE"/>
    <w:rsid w:val="007B2FA0"/>
    <w:rsid w:val="007B5714"/>
    <w:rsid w:val="007B651C"/>
    <w:rsid w:val="007C321F"/>
    <w:rsid w:val="007C37A9"/>
    <w:rsid w:val="007C5397"/>
    <w:rsid w:val="007C6BB6"/>
    <w:rsid w:val="007D1D7C"/>
    <w:rsid w:val="007D4339"/>
    <w:rsid w:val="007D4D5B"/>
    <w:rsid w:val="007D56BB"/>
    <w:rsid w:val="007D763D"/>
    <w:rsid w:val="007E01DB"/>
    <w:rsid w:val="007E08D7"/>
    <w:rsid w:val="007E0DA3"/>
    <w:rsid w:val="007E1231"/>
    <w:rsid w:val="007E25D4"/>
    <w:rsid w:val="007E6E6D"/>
    <w:rsid w:val="007F03F9"/>
    <w:rsid w:val="007F1F70"/>
    <w:rsid w:val="007F3E83"/>
    <w:rsid w:val="007F6898"/>
    <w:rsid w:val="007F73E6"/>
    <w:rsid w:val="007F7457"/>
    <w:rsid w:val="00800BF4"/>
    <w:rsid w:val="00801686"/>
    <w:rsid w:val="008023B2"/>
    <w:rsid w:val="00803A80"/>
    <w:rsid w:val="00805C6D"/>
    <w:rsid w:val="00805DCE"/>
    <w:rsid w:val="00811584"/>
    <w:rsid w:val="008136C7"/>
    <w:rsid w:val="00813A3E"/>
    <w:rsid w:val="00814B0D"/>
    <w:rsid w:val="00816926"/>
    <w:rsid w:val="00822039"/>
    <w:rsid w:val="008228D5"/>
    <w:rsid w:val="00822EBE"/>
    <w:rsid w:val="00825B19"/>
    <w:rsid w:val="00840C8A"/>
    <w:rsid w:val="00841193"/>
    <w:rsid w:val="00845C70"/>
    <w:rsid w:val="00851209"/>
    <w:rsid w:val="0085166D"/>
    <w:rsid w:val="0085507A"/>
    <w:rsid w:val="008563EF"/>
    <w:rsid w:val="0086158B"/>
    <w:rsid w:val="00863D44"/>
    <w:rsid w:val="008659EF"/>
    <w:rsid w:val="008670DC"/>
    <w:rsid w:val="008726AE"/>
    <w:rsid w:val="00875276"/>
    <w:rsid w:val="00877119"/>
    <w:rsid w:val="00877AE8"/>
    <w:rsid w:val="00883110"/>
    <w:rsid w:val="008863BD"/>
    <w:rsid w:val="00887D48"/>
    <w:rsid w:val="008907C1"/>
    <w:rsid w:val="00890939"/>
    <w:rsid w:val="0089148F"/>
    <w:rsid w:val="00894DDB"/>
    <w:rsid w:val="008A67A7"/>
    <w:rsid w:val="008B0847"/>
    <w:rsid w:val="008B1607"/>
    <w:rsid w:val="008B21F8"/>
    <w:rsid w:val="008B261D"/>
    <w:rsid w:val="008B3EC9"/>
    <w:rsid w:val="008B4210"/>
    <w:rsid w:val="008B6402"/>
    <w:rsid w:val="008B6AE2"/>
    <w:rsid w:val="008C11CA"/>
    <w:rsid w:val="008C3E55"/>
    <w:rsid w:val="008C43C1"/>
    <w:rsid w:val="008C680B"/>
    <w:rsid w:val="008C7642"/>
    <w:rsid w:val="008D43C8"/>
    <w:rsid w:val="008D47BF"/>
    <w:rsid w:val="008D4C57"/>
    <w:rsid w:val="008D7039"/>
    <w:rsid w:val="008D7A49"/>
    <w:rsid w:val="008E2648"/>
    <w:rsid w:val="008E6756"/>
    <w:rsid w:val="008F1A76"/>
    <w:rsid w:val="008F401E"/>
    <w:rsid w:val="008F54D4"/>
    <w:rsid w:val="008F7AC3"/>
    <w:rsid w:val="00904151"/>
    <w:rsid w:val="00905E27"/>
    <w:rsid w:val="00907594"/>
    <w:rsid w:val="00907C59"/>
    <w:rsid w:val="00912B79"/>
    <w:rsid w:val="009178F3"/>
    <w:rsid w:val="00920B55"/>
    <w:rsid w:val="009215FA"/>
    <w:rsid w:val="0092249D"/>
    <w:rsid w:val="009237E9"/>
    <w:rsid w:val="0092393C"/>
    <w:rsid w:val="00923A11"/>
    <w:rsid w:val="009316DE"/>
    <w:rsid w:val="00936659"/>
    <w:rsid w:val="00944400"/>
    <w:rsid w:val="00945EEE"/>
    <w:rsid w:val="009476CC"/>
    <w:rsid w:val="009514B9"/>
    <w:rsid w:val="009517AD"/>
    <w:rsid w:val="00952084"/>
    <w:rsid w:val="00953992"/>
    <w:rsid w:val="00953D86"/>
    <w:rsid w:val="00957617"/>
    <w:rsid w:val="0096053E"/>
    <w:rsid w:val="00964166"/>
    <w:rsid w:val="009650DC"/>
    <w:rsid w:val="009658EB"/>
    <w:rsid w:val="009666FE"/>
    <w:rsid w:val="00967916"/>
    <w:rsid w:val="00970660"/>
    <w:rsid w:val="009716D3"/>
    <w:rsid w:val="009733FE"/>
    <w:rsid w:val="009761FB"/>
    <w:rsid w:val="00976A6F"/>
    <w:rsid w:val="0097778F"/>
    <w:rsid w:val="009802E4"/>
    <w:rsid w:val="00980CF3"/>
    <w:rsid w:val="009815EE"/>
    <w:rsid w:val="00985EEF"/>
    <w:rsid w:val="0098776D"/>
    <w:rsid w:val="00987C18"/>
    <w:rsid w:val="00990148"/>
    <w:rsid w:val="009934C2"/>
    <w:rsid w:val="00995AF1"/>
    <w:rsid w:val="009A0684"/>
    <w:rsid w:val="009A1AC7"/>
    <w:rsid w:val="009A4C02"/>
    <w:rsid w:val="009A4E07"/>
    <w:rsid w:val="009A605E"/>
    <w:rsid w:val="009A7C6F"/>
    <w:rsid w:val="009B0AE8"/>
    <w:rsid w:val="009B3550"/>
    <w:rsid w:val="009C1E11"/>
    <w:rsid w:val="009C2F61"/>
    <w:rsid w:val="009C3019"/>
    <w:rsid w:val="009C3C1A"/>
    <w:rsid w:val="009C3F83"/>
    <w:rsid w:val="009C7C30"/>
    <w:rsid w:val="009D0586"/>
    <w:rsid w:val="009D2D08"/>
    <w:rsid w:val="009D2D3D"/>
    <w:rsid w:val="009D49C7"/>
    <w:rsid w:val="009D533F"/>
    <w:rsid w:val="009D59B5"/>
    <w:rsid w:val="009D7AF8"/>
    <w:rsid w:val="009D7B67"/>
    <w:rsid w:val="009E31ED"/>
    <w:rsid w:val="009E423A"/>
    <w:rsid w:val="009E5C5C"/>
    <w:rsid w:val="009E7E80"/>
    <w:rsid w:val="009F0125"/>
    <w:rsid w:val="009F0899"/>
    <w:rsid w:val="009F0EFD"/>
    <w:rsid w:val="009F11B8"/>
    <w:rsid w:val="009F184C"/>
    <w:rsid w:val="009F20DD"/>
    <w:rsid w:val="009F324C"/>
    <w:rsid w:val="009F4D7A"/>
    <w:rsid w:val="00A01E1D"/>
    <w:rsid w:val="00A0295A"/>
    <w:rsid w:val="00A05637"/>
    <w:rsid w:val="00A05EDE"/>
    <w:rsid w:val="00A0673D"/>
    <w:rsid w:val="00A07D8A"/>
    <w:rsid w:val="00A148AD"/>
    <w:rsid w:val="00A3224D"/>
    <w:rsid w:val="00A345A6"/>
    <w:rsid w:val="00A364F8"/>
    <w:rsid w:val="00A36912"/>
    <w:rsid w:val="00A3746B"/>
    <w:rsid w:val="00A40251"/>
    <w:rsid w:val="00A41079"/>
    <w:rsid w:val="00A420AE"/>
    <w:rsid w:val="00A43288"/>
    <w:rsid w:val="00A45CB0"/>
    <w:rsid w:val="00A46AFC"/>
    <w:rsid w:val="00A50063"/>
    <w:rsid w:val="00A502DF"/>
    <w:rsid w:val="00A54AA4"/>
    <w:rsid w:val="00A553D7"/>
    <w:rsid w:val="00A604DF"/>
    <w:rsid w:val="00A61760"/>
    <w:rsid w:val="00A63B5B"/>
    <w:rsid w:val="00A642FB"/>
    <w:rsid w:val="00A6651A"/>
    <w:rsid w:val="00A70223"/>
    <w:rsid w:val="00A713BA"/>
    <w:rsid w:val="00A73EF7"/>
    <w:rsid w:val="00A74D9B"/>
    <w:rsid w:val="00A81F83"/>
    <w:rsid w:val="00A82C67"/>
    <w:rsid w:val="00A87494"/>
    <w:rsid w:val="00A920D2"/>
    <w:rsid w:val="00A93956"/>
    <w:rsid w:val="00A94DD3"/>
    <w:rsid w:val="00A970EE"/>
    <w:rsid w:val="00A97342"/>
    <w:rsid w:val="00AA0C2E"/>
    <w:rsid w:val="00AB0CF0"/>
    <w:rsid w:val="00AB38D5"/>
    <w:rsid w:val="00AB442D"/>
    <w:rsid w:val="00AB4660"/>
    <w:rsid w:val="00AB49A3"/>
    <w:rsid w:val="00AB58DE"/>
    <w:rsid w:val="00AB5EFA"/>
    <w:rsid w:val="00AB62F9"/>
    <w:rsid w:val="00AB6646"/>
    <w:rsid w:val="00AC09D5"/>
    <w:rsid w:val="00AC1C9B"/>
    <w:rsid w:val="00AC4A7C"/>
    <w:rsid w:val="00AC61CB"/>
    <w:rsid w:val="00AD148F"/>
    <w:rsid w:val="00AD395E"/>
    <w:rsid w:val="00AD43C5"/>
    <w:rsid w:val="00AD4A97"/>
    <w:rsid w:val="00AD63A4"/>
    <w:rsid w:val="00AE0A92"/>
    <w:rsid w:val="00AE187F"/>
    <w:rsid w:val="00AE4CA3"/>
    <w:rsid w:val="00AE645D"/>
    <w:rsid w:val="00AE706C"/>
    <w:rsid w:val="00AF0586"/>
    <w:rsid w:val="00AF0CA7"/>
    <w:rsid w:val="00AF34E5"/>
    <w:rsid w:val="00AF3FE8"/>
    <w:rsid w:val="00AF6F87"/>
    <w:rsid w:val="00B00C7C"/>
    <w:rsid w:val="00B01403"/>
    <w:rsid w:val="00B02A06"/>
    <w:rsid w:val="00B046D6"/>
    <w:rsid w:val="00B05D30"/>
    <w:rsid w:val="00B10B40"/>
    <w:rsid w:val="00B10CA4"/>
    <w:rsid w:val="00B125B5"/>
    <w:rsid w:val="00B13BD8"/>
    <w:rsid w:val="00B1475F"/>
    <w:rsid w:val="00B17B62"/>
    <w:rsid w:val="00B17E6F"/>
    <w:rsid w:val="00B226F3"/>
    <w:rsid w:val="00B22984"/>
    <w:rsid w:val="00B354CC"/>
    <w:rsid w:val="00B37EDF"/>
    <w:rsid w:val="00B41F2D"/>
    <w:rsid w:val="00B43C97"/>
    <w:rsid w:val="00B447D9"/>
    <w:rsid w:val="00B46F2D"/>
    <w:rsid w:val="00B47931"/>
    <w:rsid w:val="00B50D5F"/>
    <w:rsid w:val="00B5378F"/>
    <w:rsid w:val="00B53DB1"/>
    <w:rsid w:val="00B53EFF"/>
    <w:rsid w:val="00B562A9"/>
    <w:rsid w:val="00B564D8"/>
    <w:rsid w:val="00B579C5"/>
    <w:rsid w:val="00B617C9"/>
    <w:rsid w:val="00B61A2F"/>
    <w:rsid w:val="00B61AD0"/>
    <w:rsid w:val="00B6211D"/>
    <w:rsid w:val="00B6284D"/>
    <w:rsid w:val="00B63359"/>
    <w:rsid w:val="00B6456B"/>
    <w:rsid w:val="00B6636C"/>
    <w:rsid w:val="00B71C12"/>
    <w:rsid w:val="00B72B37"/>
    <w:rsid w:val="00B72DEB"/>
    <w:rsid w:val="00B73409"/>
    <w:rsid w:val="00B746B4"/>
    <w:rsid w:val="00B76781"/>
    <w:rsid w:val="00B76B21"/>
    <w:rsid w:val="00B778CD"/>
    <w:rsid w:val="00B86C66"/>
    <w:rsid w:val="00B905F5"/>
    <w:rsid w:val="00B91BF9"/>
    <w:rsid w:val="00B93C82"/>
    <w:rsid w:val="00B94212"/>
    <w:rsid w:val="00B96949"/>
    <w:rsid w:val="00B96C6A"/>
    <w:rsid w:val="00BA057A"/>
    <w:rsid w:val="00BA0FFA"/>
    <w:rsid w:val="00BA158B"/>
    <w:rsid w:val="00BA1F8D"/>
    <w:rsid w:val="00BA262A"/>
    <w:rsid w:val="00BA301C"/>
    <w:rsid w:val="00BA55D5"/>
    <w:rsid w:val="00BA7BFA"/>
    <w:rsid w:val="00BA7F82"/>
    <w:rsid w:val="00BB199F"/>
    <w:rsid w:val="00BB26A9"/>
    <w:rsid w:val="00BB3ED3"/>
    <w:rsid w:val="00BB6855"/>
    <w:rsid w:val="00BB7670"/>
    <w:rsid w:val="00BC059D"/>
    <w:rsid w:val="00BC0744"/>
    <w:rsid w:val="00BC1392"/>
    <w:rsid w:val="00BC3E86"/>
    <w:rsid w:val="00BC45D1"/>
    <w:rsid w:val="00BC57AF"/>
    <w:rsid w:val="00BC59C2"/>
    <w:rsid w:val="00BC5A64"/>
    <w:rsid w:val="00BC78F4"/>
    <w:rsid w:val="00BD06E6"/>
    <w:rsid w:val="00BD1577"/>
    <w:rsid w:val="00BD265E"/>
    <w:rsid w:val="00BD3314"/>
    <w:rsid w:val="00BD7411"/>
    <w:rsid w:val="00BE0372"/>
    <w:rsid w:val="00BE1528"/>
    <w:rsid w:val="00BE2A86"/>
    <w:rsid w:val="00BE4599"/>
    <w:rsid w:val="00BE66B6"/>
    <w:rsid w:val="00BE7800"/>
    <w:rsid w:val="00BF189C"/>
    <w:rsid w:val="00BF421B"/>
    <w:rsid w:val="00BF4641"/>
    <w:rsid w:val="00BF5D7D"/>
    <w:rsid w:val="00BF78CE"/>
    <w:rsid w:val="00BF7AAA"/>
    <w:rsid w:val="00C01907"/>
    <w:rsid w:val="00C01FED"/>
    <w:rsid w:val="00C02F2D"/>
    <w:rsid w:val="00C13E84"/>
    <w:rsid w:val="00C17969"/>
    <w:rsid w:val="00C21CBE"/>
    <w:rsid w:val="00C23CFC"/>
    <w:rsid w:val="00C26141"/>
    <w:rsid w:val="00C26942"/>
    <w:rsid w:val="00C26999"/>
    <w:rsid w:val="00C26C79"/>
    <w:rsid w:val="00C348D8"/>
    <w:rsid w:val="00C34976"/>
    <w:rsid w:val="00C34AAB"/>
    <w:rsid w:val="00C360A5"/>
    <w:rsid w:val="00C36ED1"/>
    <w:rsid w:val="00C40AA5"/>
    <w:rsid w:val="00C42A60"/>
    <w:rsid w:val="00C4390A"/>
    <w:rsid w:val="00C47651"/>
    <w:rsid w:val="00C47C5D"/>
    <w:rsid w:val="00C50326"/>
    <w:rsid w:val="00C525F4"/>
    <w:rsid w:val="00C53C3E"/>
    <w:rsid w:val="00C540F4"/>
    <w:rsid w:val="00C5474C"/>
    <w:rsid w:val="00C54E41"/>
    <w:rsid w:val="00C54FBA"/>
    <w:rsid w:val="00C5642E"/>
    <w:rsid w:val="00C56580"/>
    <w:rsid w:val="00C57430"/>
    <w:rsid w:val="00C574F2"/>
    <w:rsid w:val="00C62E5A"/>
    <w:rsid w:val="00C639FF"/>
    <w:rsid w:val="00C665E2"/>
    <w:rsid w:val="00C6664E"/>
    <w:rsid w:val="00C701E4"/>
    <w:rsid w:val="00C73275"/>
    <w:rsid w:val="00C74B72"/>
    <w:rsid w:val="00C80E14"/>
    <w:rsid w:val="00C85EC2"/>
    <w:rsid w:val="00C8600F"/>
    <w:rsid w:val="00C86ED4"/>
    <w:rsid w:val="00C86FAA"/>
    <w:rsid w:val="00C873FA"/>
    <w:rsid w:val="00C90FF8"/>
    <w:rsid w:val="00C95F1E"/>
    <w:rsid w:val="00CA384A"/>
    <w:rsid w:val="00CA5036"/>
    <w:rsid w:val="00CA7662"/>
    <w:rsid w:val="00CA7794"/>
    <w:rsid w:val="00CB3C32"/>
    <w:rsid w:val="00CB5077"/>
    <w:rsid w:val="00CB6D06"/>
    <w:rsid w:val="00CB6EBE"/>
    <w:rsid w:val="00CD2377"/>
    <w:rsid w:val="00CD2C88"/>
    <w:rsid w:val="00CD3481"/>
    <w:rsid w:val="00CE385A"/>
    <w:rsid w:val="00CE4703"/>
    <w:rsid w:val="00CE5367"/>
    <w:rsid w:val="00CE567C"/>
    <w:rsid w:val="00CE5878"/>
    <w:rsid w:val="00CF0BE5"/>
    <w:rsid w:val="00CF2107"/>
    <w:rsid w:val="00CF330C"/>
    <w:rsid w:val="00CF3509"/>
    <w:rsid w:val="00CF3EDA"/>
    <w:rsid w:val="00CF49E8"/>
    <w:rsid w:val="00CF6B3F"/>
    <w:rsid w:val="00CF7615"/>
    <w:rsid w:val="00D015D3"/>
    <w:rsid w:val="00D01E05"/>
    <w:rsid w:val="00D029A0"/>
    <w:rsid w:val="00D031DC"/>
    <w:rsid w:val="00D07C88"/>
    <w:rsid w:val="00D11EDD"/>
    <w:rsid w:val="00D12F4E"/>
    <w:rsid w:val="00D1529A"/>
    <w:rsid w:val="00D17ED4"/>
    <w:rsid w:val="00D20602"/>
    <w:rsid w:val="00D20F3F"/>
    <w:rsid w:val="00D31DAA"/>
    <w:rsid w:val="00D33473"/>
    <w:rsid w:val="00D355F8"/>
    <w:rsid w:val="00D41D12"/>
    <w:rsid w:val="00D42E20"/>
    <w:rsid w:val="00D455C1"/>
    <w:rsid w:val="00D468C1"/>
    <w:rsid w:val="00D47A67"/>
    <w:rsid w:val="00D47CB6"/>
    <w:rsid w:val="00D52155"/>
    <w:rsid w:val="00D57D32"/>
    <w:rsid w:val="00D6362B"/>
    <w:rsid w:val="00D65C93"/>
    <w:rsid w:val="00D66D71"/>
    <w:rsid w:val="00D672C7"/>
    <w:rsid w:val="00D70269"/>
    <w:rsid w:val="00D71B29"/>
    <w:rsid w:val="00D734BF"/>
    <w:rsid w:val="00D747CB"/>
    <w:rsid w:val="00D76971"/>
    <w:rsid w:val="00D80A0A"/>
    <w:rsid w:val="00D80D88"/>
    <w:rsid w:val="00D821FF"/>
    <w:rsid w:val="00D869C0"/>
    <w:rsid w:val="00D90889"/>
    <w:rsid w:val="00D90AF6"/>
    <w:rsid w:val="00D91980"/>
    <w:rsid w:val="00D92212"/>
    <w:rsid w:val="00D92EE3"/>
    <w:rsid w:val="00D9656D"/>
    <w:rsid w:val="00DA24DC"/>
    <w:rsid w:val="00DA2F25"/>
    <w:rsid w:val="00DA55C3"/>
    <w:rsid w:val="00DA6857"/>
    <w:rsid w:val="00DA6A7E"/>
    <w:rsid w:val="00DA73CA"/>
    <w:rsid w:val="00DB384A"/>
    <w:rsid w:val="00DB3B66"/>
    <w:rsid w:val="00DB6460"/>
    <w:rsid w:val="00DC0C55"/>
    <w:rsid w:val="00DC1464"/>
    <w:rsid w:val="00DC1588"/>
    <w:rsid w:val="00DC48DA"/>
    <w:rsid w:val="00DC72FB"/>
    <w:rsid w:val="00DD07AE"/>
    <w:rsid w:val="00DD37FB"/>
    <w:rsid w:val="00DD6B63"/>
    <w:rsid w:val="00DD7DC9"/>
    <w:rsid w:val="00DE0565"/>
    <w:rsid w:val="00DE4688"/>
    <w:rsid w:val="00DE4FA2"/>
    <w:rsid w:val="00DE61A5"/>
    <w:rsid w:val="00DF1649"/>
    <w:rsid w:val="00DF394A"/>
    <w:rsid w:val="00DF3E50"/>
    <w:rsid w:val="00DF3FF7"/>
    <w:rsid w:val="00DF45FD"/>
    <w:rsid w:val="00DF4BAA"/>
    <w:rsid w:val="00E012FF"/>
    <w:rsid w:val="00E0380B"/>
    <w:rsid w:val="00E03DB7"/>
    <w:rsid w:val="00E045BB"/>
    <w:rsid w:val="00E10A66"/>
    <w:rsid w:val="00E11473"/>
    <w:rsid w:val="00E20522"/>
    <w:rsid w:val="00E20F8B"/>
    <w:rsid w:val="00E228FC"/>
    <w:rsid w:val="00E25283"/>
    <w:rsid w:val="00E25B76"/>
    <w:rsid w:val="00E3226B"/>
    <w:rsid w:val="00E33DD8"/>
    <w:rsid w:val="00E3455C"/>
    <w:rsid w:val="00E3754F"/>
    <w:rsid w:val="00E37C72"/>
    <w:rsid w:val="00E40E3D"/>
    <w:rsid w:val="00E46B3F"/>
    <w:rsid w:val="00E47074"/>
    <w:rsid w:val="00E478C0"/>
    <w:rsid w:val="00E51F4B"/>
    <w:rsid w:val="00E53A50"/>
    <w:rsid w:val="00E6074F"/>
    <w:rsid w:val="00E6403F"/>
    <w:rsid w:val="00E643B0"/>
    <w:rsid w:val="00E65050"/>
    <w:rsid w:val="00E677C3"/>
    <w:rsid w:val="00E709E5"/>
    <w:rsid w:val="00E70CF4"/>
    <w:rsid w:val="00E7101E"/>
    <w:rsid w:val="00E71861"/>
    <w:rsid w:val="00E74728"/>
    <w:rsid w:val="00E753BE"/>
    <w:rsid w:val="00E76642"/>
    <w:rsid w:val="00E76CA2"/>
    <w:rsid w:val="00E77130"/>
    <w:rsid w:val="00E774AB"/>
    <w:rsid w:val="00E84DB7"/>
    <w:rsid w:val="00E87383"/>
    <w:rsid w:val="00E90B34"/>
    <w:rsid w:val="00E92226"/>
    <w:rsid w:val="00E92842"/>
    <w:rsid w:val="00E945FC"/>
    <w:rsid w:val="00E9488D"/>
    <w:rsid w:val="00E94897"/>
    <w:rsid w:val="00E9606A"/>
    <w:rsid w:val="00E96790"/>
    <w:rsid w:val="00EA0E7E"/>
    <w:rsid w:val="00EA0EF0"/>
    <w:rsid w:val="00EA7AA0"/>
    <w:rsid w:val="00EB00EB"/>
    <w:rsid w:val="00EB701A"/>
    <w:rsid w:val="00EC0ABC"/>
    <w:rsid w:val="00EC24D0"/>
    <w:rsid w:val="00EC5A81"/>
    <w:rsid w:val="00EC6D39"/>
    <w:rsid w:val="00ED3C64"/>
    <w:rsid w:val="00ED3E60"/>
    <w:rsid w:val="00ED5851"/>
    <w:rsid w:val="00ED7D3A"/>
    <w:rsid w:val="00EE16F9"/>
    <w:rsid w:val="00EE26E4"/>
    <w:rsid w:val="00EE4CE4"/>
    <w:rsid w:val="00EE7192"/>
    <w:rsid w:val="00EE7852"/>
    <w:rsid w:val="00EF32F7"/>
    <w:rsid w:val="00EF6921"/>
    <w:rsid w:val="00EF7C68"/>
    <w:rsid w:val="00F00186"/>
    <w:rsid w:val="00F01B76"/>
    <w:rsid w:val="00F03F63"/>
    <w:rsid w:val="00F0518F"/>
    <w:rsid w:val="00F05BDC"/>
    <w:rsid w:val="00F10460"/>
    <w:rsid w:val="00F12932"/>
    <w:rsid w:val="00F13E09"/>
    <w:rsid w:val="00F176F6"/>
    <w:rsid w:val="00F17DD2"/>
    <w:rsid w:val="00F17FF0"/>
    <w:rsid w:val="00F23DB6"/>
    <w:rsid w:val="00F266E0"/>
    <w:rsid w:val="00F32277"/>
    <w:rsid w:val="00F3619E"/>
    <w:rsid w:val="00F361BB"/>
    <w:rsid w:val="00F36B60"/>
    <w:rsid w:val="00F36B8B"/>
    <w:rsid w:val="00F40A23"/>
    <w:rsid w:val="00F40E78"/>
    <w:rsid w:val="00F413A6"/>
    <w:rsid w:val="00F42027"/>
    <w:rsid w:val="00F43C81"/>
    <w:rsid w:val="00F45B3E"/>
    <w:rsid w:val="00F47FA8"/>
    <w:rsid w:val="00F5153F"/>
    <w:rsid w:val="00F530A4"/>
    <w:rsid w:val="00F55362"/>
    <w:rsid w:val="00F624A9"/>
    <w:rsid w:val="00F625C6"/>
    <w:rsid w:val="00F63763"/>
    <w:rsid w:val="00F63CAD"/>
    <w:rsid w:val="00F64762"/>
    <w:rsid w:val="00F673C5"/>
    <w:rsid w:val="00F676DD"/>
    <w:rsid w:val="00F71B46"/>
    <w:rsid w:val="00F71B87"/>
    <w:rsid w:val="00F73B81"/>
    <w:rsid w:val="00F7586B"/>
    <w:rsid w:val="00F774F5"/>
    <w:rsid w:val="00F8099E"/>
    <w:rsid w:val="00F833C3"/>
    <w:rsid w:val="00F8533E"/>
    <w:rsid w:val="00F85DE2"/>
    <w:rsid w:val="00F87AB0"/>
    <w:rsid w:val="00F9320A"/>
    <w:rsid w:val="00F9347D"/>
    <w:rsid w:val="00F94D78"/>
    <w:rsid w:val="00FA017F"/>
    <w:rsid w:val="00FA3655"/>
    <w:rsid w:val="00FA43B0"/>
    <w:rsid w:val="00FA5F8B"/>
    <w:rsid w:val="00FB398A"/>
    <w:rsid w:val="00FB3DF2"/>
    <w:rsid w:val="00FB5F6F"/>
    <w:rsid w:val="00FB7BF5"/>
    <w:rsid w:val="00FC1B92"/>
    <w:rsid w:val="00FC2501"/>
    <w:rsid w:val="00FC363E"/>
    <w:rsid w:val="00FC3BDD"/>
    <w:rsid w:val="00FC561A"/>
    <w:rsid w:val="00FC5E84"/>
    <w:rsid w:val="00FC6EE9"/>
    <w:rsid w:val="00FD0C6D"/>
    <w:rsid w:val="00FD1115"/>
    <w:rsid w:val="00FD145D"/>
    <w:rsid w:val="00FD2207"/>
    <w:rsid w:val="00FD2BE6"/>
    <w:rsid w:val="00FD3C9A"/>
    <w:rsid w:val="00FD3DE1"/>
    <w:rsid w:val="00FD414D"/>
    <w:rsid w:val="00FD6DC4"/>
    <w:rsid w:val="00FE20F9"/>
    <w:rsid w:val="00FE25E0"/>
    <w:rsid w:val="00FE2F37"/>
    <w:rsid w:val="00FE387E"/>
    <w:rsid w:val="00FE3A9B"/>
    <w:rsid w:val="00FE66B6"/>
    <w:rsid w:val="00FE73D5"/>
    <w:rsid w:val="00FF03EA"/>
    <w:rsid w:val="00FF194F"/>
    <w:rsid w:val="00FF1DA0"/>
    <w:rsid w:val="00FF4392"/>
    <w:rsid w:val="00FF4CC3"/>
    <w:rsid w:val="00FF4E51"/>
    <w:rsid w:val="00FF6CEB"/>
    <w:rsid w:val="00FF79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9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76"/>
    <w:pPr>
      <w:spacing w:after="200" w:line="276" w:lineRule="auto"/>
    </w:pPr>
    <w:rPr>
      <w:sz w:val="22"/>
      <w:szCs w:val="22"/>
      <w:lang w:val="en-US" w:eastAsia="en-US"/>
    </w:rPr>
  </w:style>
  <w:style w:type="paragraph" w:styleId="Heading1">
    <w:name w:val="heading 1"/>
    <w:basedOn w:val="Heading10"/>
    <w:next w:val="Normal"/>
    <w:qFormat/>
    <w:rsid w:val="0070185B"/>
    <w:rPr>
      <w:rFonts w:cs="Arial"/>
      <w:bCs/>
    </w:rPr>
  </w:style>
  <w:style w:type="paragraph" w:styleId="Heading2">
    <w:name w:val="heading 2"/>
    <w:basedOn w:val="Heading20"/>
    <w:next w:val="Normal"/>
    <w:qFormat/>
    <w:rsid w:val="0070185B"/>
    <w:rPr>
      <w:rFonts w:cs="Arial"/>
      <w:bCs/>
      <w:iCs/>
      <w:szCs w:val="28"/>
    </w:rPr>
  </w:style>
  <w:style w:type="paragraph" w:styleId="Heading3">
    <w:name w:val="heading 3"/>
    <w:basedOn w:val="Heading30"/>
    <w:next w:val="Normal"/>
    <w:qFormat/>
    <w:rsid w:val="0070185B"/>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aliases w:val="H1"/>
    <w:basedOn w:val="NormalSingle"/>
    <w:next w:val="Normal"/>
    <w:rsid w:val="00FC6EE9"/>
    <w:pPr>
      <w:keepNext/>
      <w:spacing w:before="120" w:after="120"/>
      <w:jc w:val="left"/>
      <w:outlineLvl w:val="0"/>
    </w:pPr>
    <w:rPr>
      <w:rFonts w:ascii="Arial" w:hAnsi="Arial"/>
      <w:b/>
      <w:caps/>
      <w:sz w:val="28"/>
      <w:szCs w:val="28"/>
    </w:rPr>
  </w:style>
  <w:style w:type="paragraph" w:customStyle="1" w:styleId="NormalSingle">
    <w:name w:val="Normal Single"/>
    <w:rsid w:val="004325E6"/>
    <w:pPr>
      <w:spacing w:after="240"/>
      <w:jc w:val="both"/>
    </w:pPr>
    <w:rPr>
      <w:sz w:val="24"/>
      <w:lang w:eastAsia="en-US"/>
    </w:rPr>
  </w:style>
  <w:style w:type="paragraph" w:customStyle="1" w:styleId="Heading20">
    <w:name w:val="Heading2"/>
    <w:aliases w:val="H2"/>
    <w:basedOn w:val="NormalSingle"/>
    <w:next w:val="Normal"/>
    <w:rsid w:val="00FC6EE9"/>
    <w:pPr>
      <w:keepNext/>
      <w:spacing w:before="120" w:after="120"/>
      <w:jc w:val="left"/>
      <w:outlineLvl w:val="1"/>
    </w:pPr>
    <w:rPr>
      <w:rFonts w:ascii="Arial" w:hAnsi="Arial"/>
      <w:b/>
      <w:sz w:val="28"/>
    </w:rPr>
  </w:style>
  <w:style w:type="paragraph" w:customStyle="1" w:styleId="Heading30">
    <w:name w:val="Heading3"/>
    <w:aliases w:val="H3"/>
    <w:basedOn w:val="NormalSingle"/>
    <w:next w:val="Normal"/>
    <w:rsid w:val="00FC6EE9"/>
    <w:pPr>
      <w:keepNext/>
      <w:spacing w:before="120" w:after="120"/>
      <w:jc w:val="left"/>
      <w:outlineLvl w:val="2"/>
    </w:pPr>
    <w:rPr>
      <w:rFonts w:ascii="Arial" w:hAnsi="Arial"/>
      <w:b/>
      <w:caps/>
      <w:szCs w:val="24"/>
    </w:rPr>
  </w:style>
  <w:style w:type="paragraph" w:customStyle="1" w:styleId="Indent">
    <w:name w:val="Indent"/>
    <w:aliases w:val="In"/>
    <w:basedOn w:val="Normal"/>
    <w:pPr>
      <w:ind w:left="720"/>
    </w:pPr>
    <w:rPr>
      <w:szCs w:val="20"/>
    </w:rPr>
  </w:style>
  <w:style w:type="paragraph" w:styleId="Footer">
    <w:name w:val="footer"/>
    <w:basedOn w:val="NormalSingle"/>
    <w:link w:val="FooterChar"/>
    <w:uiPriority w:val="99"/>
    <w:rsid w:val="00693D69"/>
    <w:pPr>
      <w:tabs>
        <w:tab w:val="center" w:pos="4680"/>
        <w:tab w:val="right" w:pos="9360"/>
      </w:tabs>
      <w:spacing w:after="0"/>
      <w:jc w:val="left"/>
    </w:pPr>
  </w:style>
  <w:style w:type="paragraph" w:styleId="Header">
    <w:name w:val="header"/>
    <w:basedOn w:val="NormalSingle"/>
    <w:link w:val="HeaderChar"/>
    <w:rsid w:val="00D821FF"/>
    <w:pPr>
      <w:tabs>
        <w:tab w:val="center" w:pos="4680"/>
        <w:tab w:val="right" w:pos="9360"/>
      </w:tabs>
      <w:jc w:val="left"/>
    </w:pPr>
  </w:style>
  <w:style w:type="paragraph" w:customStyle="1" w:styleId="Bullet">
    <w:name w:val="Bullet"/>
    <w:aliases w:val="BL"/>
    <w:basedOn w:val="Normal"/>
    <w:rsid w:val="0070185B"/>
    <w:pPr>
      <w:numPr>
        <w:numId w:val="1"/>
      </w:numPr>
    </w:pPr>
    <w:rPr>
      <w:szCs w:val="20"/>
    </w:rPr>
  </w:style>
  <w:style w:type="paragraph" w:customStyle="1" w:styleId="Block">
    <w:name w:val="Block"/>
    <w:aliases w:val="B"/>
    <w:basedOn w:val="Normal"/>
    <w:pPr>
      <w:ind w:left="720" w:right="720"/>
    </w:pPr>
    <w:rPr>
      <w:szCs w:val="20"/>
    </w:rPr>
  </w:style>
  <w:style w:type="paragraph" w:customStyle="1" w:styleId="Block1">
    <w:name w:val="Block1"/>
    <w:aliases w:val="B1"/>
    <w:basedOn w:val="Block"/>
    <w:pPr>
      <w:ind w:left="1440" w:right="1440"/>
    </w:pPr>
  </w:style>
  <w:style w:type="paragraph" w:customStyle="1" w:styleId="Centre">
    <w:name w:val="Centre"/>
    <w:basedOn w:val="Normal"/>
    <w:rsid w:val="00D1529A"/>
    <w:pPr>
      <w:jc w:val="center"/>
    </w:pPr>
    <w:rPr>
      <w:b/>
      <w:szCs w:val="20"/>
    </w:rPr>
  </w:style>
  <w:style w:type="paragraph" w:customStyle="1" w:styleId="Hanging">
    <w:name w:val="Hanging"/>
    <w:aliases w:val="H"/>
    <w:basedOn w:val="Normal"/>
    <w:pPr>
      <w:ind w:left="720" w:hanging="720"/>
    </w:pPr>
    <w:rPr>
      <w:szCs w:val="20"/>
    </w:rPr>
  </w:style>
  <w:style w:type="paragraph" w:customStyle="1" w:styleId="Indent1">
    <w:name w:val="Indent1"/>
    <w:aliases w:val="I1"/>
    <w:basedOn w:val="Indent"/>
    <w:pPr>
      <w:ind w:left="1440"/>
    </w:pPr>
  </w:style>
  <w:style w:type="paragraph" w:customStyle="1" w:styleId="Indent2">
    <w:name w:val="Indent2"/>
    <w:aliases w:val="I2"/>
    <w:basedOn w:val="Indent"/>
    <w:pPr>
      <w:ind w:left="2160"/>
    </w:pPr>
  </w:style>
  <w:style w:type="paragraph" w:customStyle="1" w:styleId="Left">
    <w:name w:val="Left"/>
    <w:aliases w:val="L"/>
    <w:basedOn w:val="Normal"/>
    <w:rsid w:val="000F56C8"/>
    <w:rPr>
      <w:szCs w:val="20"/>
    </w:rPr>
  </w:style>
  <w:style w:type="paragraph" w:customStyle="1" w:styleId="Plain">
    <w:name w:val="Plain"/>
    <w:aliases w:val="P"/>
    <w:basedOn w:val="Normal"/>
    <w:rsid w:val="00D821FF"/>
    <w:pPr>
      <w:spacing w:after="0"/>
    </w:pPr>
    <w:rPr>
      <w:szCs w:val="20"/>
    </w:rPr>
  </w:style>
  <w:style w:type="character" w:customStyle="1" w:styleId="Reference">
    <w:name w:val="Reference"/>
    <w:aliases w:val="Ref"/>
    <w:basedOn w:val="DefaultParagraphFont"/>
    <w:rsid w:val="00F63CAD"/>
    <w:rPr>
      <w:b/>
      <w:sz w:val="16"/>
      <w:szCs w:val="16"/>
    </w:rPr>
  </w:style>
  <w:style w:type="paragraph" w:customStyle="1" w:styleId="Right">
    <w:name w:val="Right"/>
    <w:aliases w:val="R"/>
    <w:basedOn w:val="Normal"/>
    <w:pPr>
      <w:jc w:val="right"/>
    </w:pPr>
    <w:rPr>
      <w:szCs w:val="20"/>
    </w:rPr>
  </w:style>
  <w:style w:type="paragraph" w:customStyle="1" w:styleId="Heading1Centre">
    <w:name w:val="Heading1Centre"/>
    <w:aliases w:val="H1C"/>
    <w:basedOn w:val="Heading10"/>
    <w:next w:val="Normal"/>
    <w:rsid w:val="00F63CAD"/>
    <w:pPr>
      <w:spacing w:after="480"/>
      <w:jc w:val="center"/>
      <w:outlineLvl w:val="9"/>
    </w:pPr>
  </w:style>
  <w:style w:type="paragraph" w:customStyle="1" w:styleId="Heading2NoToc">
    <w:name w:val="Heading2NoToc"/>
    <w:aliases w:val="H2NT"/>
    <w:basedOn w:val="Heading20"/>
    <w:next w:val="Normal"/>
    <w:rsid w:val="0070185B"/>
    <w:pPr>
      <w:outlineLvl w:val="9"/>
    </w:pPr>
  </w:style>
  <w:style w:type="paragraph" w:customStyle="1" w:styleId="Tab">
    <w:name w:val="Tab"/>
    <w:aliases w:val="T"/>
    <w:basedOn w:val="Normal"/>
    <w:pPr>
      <w:ind w:firstLine="720"/>
    </w:pPr>
    <w:rPr>
      <w:szCs w:val="20"/>
    </w:rPr>
  </w:style>
  <w:style w:type="paragraph" w:customStyle="1" w:styleId="TableHeading">
    <w:name w:val="TableHeading"/>
    <w:aliases w:val="TH"/>
    <w:basedOn w:val="NormalSingle"/>
    <w:rsid w:val="009A605E"/>
    <w:pPr>
      <w:keepNext/>
      <w:keepLines/>
      <w:spacing w:before="120" w:after="120"/>
      <w:jc w:val="center"/>
    </w:pPr>
    <w:rPr>
      <w:b/>
    </w:rPr>
  </w:style>
  <w:style w:type="paragraph" w:customStyle="1" w:styleId="TableText">
    <w:name w:val="TableText"/>
    <w:aliases w:val="TT"/>
    <w:basedOn w:val="Normal"/>
    <w:rsid w:val="000F56C8"/>
    <w:pPr>
      <w:spacing w:before="60" w:after="60"/>
    </w:pPr>
  </w:style>
  <w:style w:type="character" w:styleId="PageNumber">
    <w:name w:val="page number"/>
    <w:basedOn w:val="DefaultParagraphFont"/>
    <w:rsid w:val="00F63CAD"/>
    <w:rPr>
      <w:sz w:val="24"/>
      <w:szCs w:val="24"/>
    </w:rPr>
  </w:style>
  <w:style w:type="character" w:customStyle="1" w:styleId="Prompt">
    <w:name w:val="Prompt"/>
    <w:aliases w:val="Pr"/>
    <w:basedOn w:val="DefaultParagraphFont"/>
    <w:uiPriority w:val="29"/>
    <w:qFormat/>
    <w:rPr>
      <w:color w:val="0000FF"/>
    </w:rPr>
  </w:style>
  <w:style w:type="paragraph" w:customStyle="1" w:styleId="PlainSingle">
    <w:name w:val="Plain Single"/>
    <w:basedOn w:val="NormalSingle"/>
    <w:rsid w:val="00D821FF"/>
    <w:pPr>
      <w:spacing w:after="0"/>
      <w:jc w:val="left"/>
    </w:pPr>
  </w:style>
  <w:style w:type="paragraph" w:customStyle="1" w:styleId="Tab1">
    <w:name w:val="Tab1"/>
    <w:aliases w:val="T1"/>
    <w:basedOn w:val="Tab"/>
    <w:rsid w:val="009517AD"/>
    <w:pPr>
      <w:ind w:firstLine="1440"/>
    </w:pPr>
  </w:style>
  <w:style w:type="paragraph" w:customStyle="1" w:styleId="Block2">
    <w:name w:val="Block2"/>
    <w:aliases w:val="B2"/>
    <w:basedOn w:val="Block"/>
    <w:rsid w:val="004B4003"/>
    <w:pPr>
      <w:ind w:left="2160" w:right="2160"/>
    </w:pPr>
  </w:style>
  <w:style w:type="paragraph" w:customStyle="1" w:styleId="Block3">
    <w:name w:val="Block3"/>
    <w:aliases w:val="B3"/>
    <w:basedOn w:val="Block"/>
    <w:rsid w:val="004B4003"/>
    <w:pPr>
      <w:ind w:left="2880" w:right="2880"/>
    </w:pPr>
  </w:style>
  <w:style w:type="paragraph" w:styleId="BalloonText">
    <w:name w:val="Balloon Text"/>
    <w:basedOn w:val="Normal"/>
    <w:semiHidden/>
    <w:rsid w:val="00E045BB"/>
    <w:rPr>
      <w:rFonts w:ascii="Tahoma" w:hAnsi="Tahoma"/>
      <w:sz w:val="16"/>
      <w:szCs w:val="16"/>
    </w:rPr>
  </w:style>
  <w:style w:type="paragraph" w:customStyle="1" w:styleId="Cite">
    <w:name w:val="Cite"/>
    <w:aliases w:val="C"/>
    <w:basedOn w:val="NormalSingle"/>
    <w:next w:val="Normal"/>
    <w:rsid w:val="001B1DF2"/>
    <w:pPr>
      <w:keepLines/>
      <w:ind w:left="1440" w:right="1440"/>
    </w:pPr>
    <w:rPr>
      <w:rFonts w:ascii="Arial" w:hAnsi="Arial"/>
      <w:i/>
      <w:sz w:val="20"/>
    </w:rPr>
  </w:style>
  <w:style w:type="paragraph" w:customStyle="1" w:styleId="Indent3">
    <w:name w:val="Indent3"/>
    <w:aliases w:val="I3"/>
    <w:basedOn w:val="Indent"/>
    <w:rsid w:val="000F227D"/>
    <w:pPr>
      <w:ind w:left="2880"/>
    </w:pPr>
  </w:style>
  <w:style w:type="paragraph" w:customStyle="1" w:styleId="Quote1">
    <w:name w:val="Quote1"/>
    <w:aliases w:val="Q"/>
    <w:basedOn w:val="NormalSingle"/>
    <w:next w:val="Normal"/>
    <w:rsid w:val="001B1DF2"/>
    <w:pPr>
      <w:ind w:left="1440" w:right="1440"/>
    </w:pPr>
    <w:rPr>
      <w:i/>
    </w:rPr>
  </w:style>
  <w:style w:type="paragraph" w:customStyle="1" w:styleId="Heading4">
    <w:name w:val="Heading4"/>
    <w:aliases w:val="H4"/>
    <w:basedOn w:val="NormalSingle"/>
    <w:next w:val="Normal"/>
    <w:rsid w:val="00FC6EE9"/>
    <w:pPr>
      <w:keepNext/>
      <w:spacing w:before="120" w:after="120"/>
      <w:jc w:val="left"/>
      <w:outlineLvl w:val="3"/>
    </w:pPr>
    <w:rPr>
      <w:rFonts w:ascii="Arial" w:hAnsi="Arial"/>
      <w:b/>
    </w:rPr>
  </w:style>
  <w:style w:type="paragraph" w:customStyle="1" w:styleId="Heading5">
    <w:name w:val="Heading5"/>
    <w:aliases w:val="H5"/>
    <w:basedOn w:val="NormalSingle"/>
    <w:next w:val="Normal"/>
    <w:rsid w:val="00FC6EE9"/>
    <w:pPr>
      <w:keepNext/>
      <w:spacing w:before="120" w:after="120"/>
      <w:jc w:val="left"/>
      <w:outlineLvl w:val="4"/>
    </w:pPr>
    <w:rPr>
      <w:rFonts w:ascii="Arial" w:hAnsi="Arial"/>
      <w:b/>
      <w:i/>
    </w:rPr>
  </w:style>
  <w:style w:type="character" w:styleId="Hyperlink">
    <w:name w:val="Hyperlink"/>
    <w:basedOn w:val="DefaultParagraphFont"/>
    <w:uiPriority w:val="99"/>
    <w:unhideWhenUsed/>
    <w:rsid w:val="00786AD8"/>
    <w:rPr>
      <w:color w:val="0000FF"/>
      <w:u w:val="single"/>
    </w:rPr>
  </w:style>
  <w:style w:type="character" w:customStyle="1" w:styleId="HeaderChar">
    <w:name w:val="Header Char"/>
    <w:basedOn w:val="DefaultParagraphFont"/>
    <w:link w:val="Header"/>
    <w:uiPriority w:val="99"/>
    <w:rsid w:val="00786AD8"/>
    <w:rPr>
      <w:sz w:val="24"/>
      <w:lang w:eastAsia="en-US"/>
    </w:rPr>
  </w:style>
  <w:style w:type="paragraph" w:styleId="ListParagraph">
    <w:name w:val="List Paragraph"/>
    <w:basedOn w:val="Normal"/>
    <w:uiPriority w:val="34"/>
    <w:qFormat/>
    <w:rsid w:val="00786AD8"/>
    <w:pPr>
      <w:ind w:left="720"/>
      <w:contextualSpacing/>
    </w:pPr>
  </w:style>
  <w:style w:type="paragraph" w:customStyle="1" w:styleId="FactumBodyL1">
    <w:name w:val="Factum Body L1"/>
    <w:basedOn w:val="Normal"/>
    <w:rsid w:val="00786AD8"/>
    <w:pPr>
      <w:numPr>
        <w:numId w:val="14"/>
      </w:numPr>
      <w:spacing w:after="240" w:line="480" w:lineRule="auto"/>
      <w:jc w:val="both"/>
    </w:pPr>
    <w:rPr>
      <w:rFonts w:ascii="Arial" w:hAnsi="Arial" w:cs="Arial"/>
      <w:szCs w:val="20"/>
      <w:lang w:val="en-CA"/>
    </w:rPr>
  </w:style>
  <w:style w:type="paragraph" w:customStyle="1" w:styleId="FactumBodyL2">
    <w:name w:val="Factum Body L2"/>
    <w:basedOn w:val="Normal"/>
    <w:rsid w:val="00786AD8"/>
    <w:pPr>
      <w:numPr>
        <w:ilvl w:val="1"/>
        <w:numId w:val="14"/>
      </w:numPr>
      <w:spacing w:after="240" w:line="480" w:lineRule="auto"/>
      <w:jc w:val="both"/>
    </w:pPr>
    <w:rPr>
      <w:rFonts w:ascii="Arial" w:hAnsi="Arial" w:cs="Arial"/>
      <w:szCs w:val="20"/>
      <w:lang w:val="en-CA"/>
    </w:rPr>
  </w:style>
  <w:style w:type="paragraph" w:customStyle="1" w:styleId="FactumBodyL3">
    <w:name w:val="Factum Body L3"/>
    <w:basedOn w:val="Normal"/>
    <w:rsid w:val="00786AD8"/>
    <w:pPr>
      <w:numPr>
        <w:ilvl w:val="2"/>
        <w:numId w:val="14"/>
      </w:numPr>
      <w:spacing w:after="240" w:line="480" w:lineRule="auto"/>
      <w:jc w:val="both"/>
    </w:pPr>
    <w:rPr>
      <w:rFonts w:ascii="Arial" w:hAnsi="Arial" w:cs="Arial"/>
      <w:szCs w:val="20"/>
      <w:lang w:val="en-CA"/>
    </w:rPr>
  </w:style>
  <w:style w:type="paragraph" w:customStyle="1" w:styleId="FactumBodyL4">
    <w:name w:val="Factum Body L4"/>
    <w:basedOn w:val="Normal"/>
    <w:rsid w:val="00786AD8"/>
    <w:pPr>
      <w:numPr>
        <w:ilvl w:val="3"/>
        <w:numId w:val="14"/>
      </w:numPr>
      <w:tabs>
        <w:tab w:val="left" w:pos="3600"/>
      </w:tabs>
      <w:spacing w:after="240" w:line="480" w:lineRule="auto"/>
      <w:jc w:val="both"/>
    </w:pPr>
    <w:rPr>
      <w:rFonts w:ascii="Arial" w:hAnsi="Arial" w:cs="Arial"/>
      <w:szCs w:val="20"/>
      <w:lang w:val="en-CA"/>
    </w:rPr>
  </w:style>
  <w:style w:type="paragraph" w:styleId="FootnoteText">
    <w:name w:val="footnote text"/>
    <w:basedOn w:val="Normal"/>
    <w:link w:val="FootnoteTextChar"/>
    <w:uiPriority w:val="99"/>
    <w:rsid w:val="00F01B76"/>
    <w:pPr>
      <w:spacing w:after="0" w:line="240" w:lineRule="auto"/>
    </w:pPr>
    <w:rPr>
      <w:rFonts w:ascii="Arial" w:hAnsi="Arial" w:cs="Arial"/>
      <w:sz w:val="18"/>
      <w:szCs w:val="20"/>
      <w:lang w:val="en-CA"/>
    </w:rPr>
  </w:style>
  <w:style w:type="character" w:customStyle="1" w:styleId="FootnoteTextChar">
    <w:name w:val="Footnote Text Char"/>
    <w:basedOn w:val="DefaultParagraphFont"/>
    <w:link w:val="FootnoteText"/>
    <w:uiPriority w:val="99"/>
    <w:rsid w:val="00F01B76"/>
    <w:rPr>
      <w:rFonts w:ascii="Arial" w:hAnsi="Arial" w:cs="Arial"/>
      <w:sz w:val="18"/>
      <w:lang w:eastAsia="en-US"/>
    </w:rPr>
  </w:style>
  <w:style w:type="character" w:styleId="FootnoteReference">
    <w:name w:val="footnote reference"/>
    <w:uiPriority w:val="99"/>
    <w:rsid w:val="00F01B76"/>
    <w:rPr>
      <w:rFonts w:ascii="Arial" w:hAnsi="Arial" w:cs="Arial"/>
      <w:vertAlign w:val="superscript"/>
    </w:rPr>
  </w:style>
  <w:style w:type="character" w:customStyle="1" w:styleId="FooterChar">
    <w:name w:val="Footer Char"/>
    <w:basedOn w:val="DefaultParagraphFont"/>
    <w:link w:val="Footer"/>
    <w:uiPriority w:val="99"/>
    <w:rsid w:val="007F6898"/>
    <w:rPr>
      <w:sz w:val="24"/>
      <w:lang w:eastAsia="en-US"/>
    </w:rPr>
  </w:style>
  <w:style w:type="paragraph" w:customStyle="1" w:styleId="FactumHeadingL1">
    <w:name w:val="Factum Heading L1"/>
    <w:basedOn w:val="Normal"/>
    <w:next w:val="FactumBodyL1"/>
    <w:rsid w:val="00E753BE"/>
    <w:pPr>
      <w:keepNext/>
      <w:keepLines/>
      <w:numPr>
        <w:numId w:val="16"/>
      </w:numPr>
      <w:spacing w:before="240" w:after="360" w:line="240" w:lineRule="auto"/>
      <w:jc w:val="both"/>
      <w:outlineLvl w:val="0"/>
    </w:pPr>
    <w:rPr>
      <w:rFonts w:ascii="Arial" w:hAnsi="Arial" w:cs="Arial"/>
      <w:b/>
      <w:caps/>
      <w:szCs w:val="20"/>
      <w:lang w:val="en-CA"/>
    </w:rPr>
  </w:style>
  <w:style w:type="paragraph" w:customStyle="1" w:styleId="FactumHeadingL2">
    <w:name w:val="Factum Heading L2"/>
    <w:basedOn w:val="Normal"/>
    <w:next w:val="FactumBodyL1"/>
    <w:rsid w:val="00E753BE"/>
    <w:pPr>
      <w:keepNext/>
      <w:keepLines/>
      <w:numPr>
        <w:ilvl w:val="1"/>
        <w:numId w:val="16"/>
      </w:numPr>
      <w:spacing w:after="360" w:line="240" w:lineRule="auto"/>
      <w:jc w:val="both"/>
      <w:outlineLvl w:val="1"/>
    </w:pPr>
    <w:rPr>
      <w:rFonts w:ascii="Arial" w:hAnsi="Arial" w:cs="Arial"/>
      <w:b/>
      <w:szCs w:val="20"/>
      <w:lang w:val="en-CA"/>
    </w:rPr>
  </w:style>
  <w:style w:type="paragraph" w:customStyle="1" w:styleId="FactumHeadingL3">
    <w:name w:val="Factum Heading L3"/>
    <w:basedOn w:val="Normal"/>
    <w:next w:val="FactumBodyL1"/>
    <w:rsid w:val="00E753BE"/>
    <w:pPr>
      <w:keepNext/>
      <w:keepLines/>
      <w:numPr>
        <w:ilvl w:val="2"/>
        <w:numId w:val="16"/>
      </w:numPr>
      <w:spacing w:after="360" w:line="240" w:lineRule="auto"/>
      <w:jc w:val="both"/>
      <w:outlineLvl w:val="2"/>
    </w:pPr>
    <w:rPr>
      <w:rFonts w:ascii="Arial" w:hAnsi="Arial" w:cs="Arial"/>
      <w:b/>
      <w:szCs w:val="20"/>
      <w:lang w:val="en-CA"/>
    </w:rPr>
  </w:style>
  <w:style w:type="paragraph" w:customStyle="1" w:styleId="Addenda">
    <w:name w:val="Addenda"/>
    <w:basedOn w:val="Normal"/>
    <w:next w:val="Normal"/>
    <w:rsid w:val="002C4084"/>
    <w:pPr>
      <w:keepNext/>
      <w:keepLines/>
      <w:tabs>
        <w:tab w:val="right" w:pos="8640"/>
      </w:tabs>
      <w:spacing w:after="240" w:line="240" w:lineRule="auto"/>
      <w:jc w:val="center"/>
      <w:outlineLvl w:val="4"/>
    </w:pPr>
    <w:rPr>
      <w:rFonts w:ascii="Arial" w:hAnsi="Arial" w:cs="Arial"/>
      <w:b/>
      <w:szCs w:val="20"/>
      <w:lang w:val="en-CA"/>
    </w:rPr>
  </w:style>
  <w:style w:type="paragraph" w:customStyle="1" w:styleId="DocsID">
    <w:name w:val="DocsID"/>
    <w:basedOn w:val="Normal"/>
    <w:rsid w:val="002C4084"/>
    <w:pPr>
      <w:widowControl w:val="0"/>
      <w:spacing w:before="20" w:after="0" w:line="160" w:lineRule="exact"/>
    </w:pPr>
    <w:rPr>
      <w:rFonts w:ascii="Arial" w:hAnsi="Arial"/>
      <w:color w:val="000080"/>
      <w:sz w:val="16"/>
      <w:szCs w:val="13"/>
      <w:lang w:val="en-CA"/>
    </w:rPr>
  </w:style>
  <w:style w:type="paragraph" w:customStyle="1" w:styleId="IFDNumL1">
    <w:name w:val="IFDNum L1"/>
    <w:basedOn w:val="Normal"/>
    <w:rsid w:val="00C73275"/>
    <w:pPr>
      <w:numPr>
        <w:numId w:val="21"/>
      </w:numPr>
      <w:spacing w:before="120" w:after="120" w:line="480" w:lineRule="auto"/>
      <w:jc w:val="both"/>
    </w:pPr>
    <w:rPr>
      <w:rFonts w:ascii="Arial" w:hAnsi="Arial" w:cs="Arial"/>
      <w:szCs w:val="20"/>
      <w:lang w:val="en-CA"/>
    </w:rPr>
  </w:style>
  <w:style w:type="paragraph" w:customStyle="1" w:styleId="IFDNumL2">
    <w:name w:val="IFDNum L2"/>
    <w:basedOn w:val="Normal"/>
    <w:rsid w:val="00C73275"/>
    <w:pPr>
      <w:numPr>
        <w:ilvl w:val="1"/>
        <w:numId w:val="21"/>
      </w:numPr>
      <w:spacing w:after="240" w:line="360" w:lineRule="auto"/>
      <w:jc w:val="both"/>
    </w:pPr>
    <w:rPr>
      <w:rFonts w:ascii="Arial" w:hAnsi="Arial" w:cs="Arial"/>
      <w:szCs w:val="20"/>
      <w:lang w:val="en-CA"/>
    </w:rPr>
  </w:style>
  <w:style w:type="paragraph" w:customStyle="1" w:styleId="IFDNumL3">
    <w:name w:val="IFDNum L3"/>
    <w:basedOn w:val="Normal"/>
    <w:rsid w:val="00C73275"/>
    <w:pPr>
      <w:numPr>
        <w:ilvl w:val="2"/>
        <w:numId w:val="21"/>
      </w:numPr>
      <w:spacing w:after="240" w:line="360" w:lineRule="auto"/>
      <w:jc w:val="both"/>
    </w:pPr>
    <w:rPr>
      <w:rFonts w:ascii="Arial" w:hAnsi="Arial" w:cs="Arial"/>
      <w:szCs w:val="20"/>
      <w:lang w:val="en-CA"/>
    </w:rPr>
  </w:style>
  <w:style w:type="paragraph" w:customStyle="1" w:styleId="IFDNumL4">
    <w:name w:val="IFDNum L4"/>
    <w:basedOn w:val="Normal"/>
    <w:rsid w:val="00C73275"/>
    <w:pPr>
      <w:numPr>
        <w:ilvl w:val="3"/>
        <w:numId w:val="21"/>
      </w:numPr>
      <w:spacing w:after="240" w:line="360" w:lineRule="auto"/>
      <w:jc w:val="both"/>
    </w:pPr>
    <w:rPr>
      <w:rFonts w:ascii="Arial" w:hAnsi="Arial" w:cs="Arial"/>
      <w:szCs w:val="20"/>
      <w:lang w:val="en-CA"/>
    </w:rPr>
  </w:style>
  <w:style w:type="paragraph" w:customStyle="1" w:styleId="IFDNumL5">
    <w:name w:val="IFDNum L5"/>
    <w:basedOn w:val="Normal"/>
    <w:rsid w:val="00C73275"/>
    <w:pPr>
      <w:numPr>
        <w:ilvl w:val="4"/>
        <w:numId w:val="21"/>
      </w:numPr>
      <w:spacing w:after="240" w:line="360" w:lineRule="auto"/>
      <w:jc w:val="both"/>
    </w:pPr>
    <w:rPr>
      <w:rFonts w:ascii="Arial" w:hAnsi="Arial" w:cs="Arial"/>
      <w:szCs w:val="20"/>
      <w:lang w:val="en-CA"/>
    </w:rPr>
  </w:style>
  <w:style w:type="paragraph" w:customStyle="1" w:styleId="IFDNumL6">
    <w:name w:val="IFDNum L6"/>
    <w:basedOn w:val="Normal"/>
    <w:rsid w:val="00C73275"/>
    <w:pPr>
      <w:numPr>
        <w:ilvl w:val="5"/>
        <w:numId w:val="21"/>
      </w:numPr>
      <w:spacing w:after="240" w:line="360" w:lineRule="auto"/>
      <w:jc w:val="both"/>
    </w:pPr>
    <w:rPr>
      <w:rFonts w:ascii="Arial" w:hAnsi="Arial" w:cs="Arial"/>
      <w:szCs w:val="20"/>
      <w:lang w:val="en-CA"/>
    </w:rPr>
  </w:style>
  <w:style w:type="paragraph" w:customStyle="1" w:styleId="IFDNumL7">
    <w:name w:val="IFDNum L7"/>
    <w:basedOn w:val="Normal"/>
    <w:rsid w:val="00C73275"/>
    <w:pPr>
      <w:numPr>
        <w:ilvl w:val="6"/>
        <w:numId w:val="21"/>
      </w:numPr>
      <w:spacing w:after="240" w:line="360" w:lineRule="auto"/>
      <w:jc w:val="both"/>
    </w:pPr>
    <w:rPr>
      <w:rFonts w:ascii="Arial" w:hAnsi="Arial" w:cs="Arial"/>
      <w:szCs w:val="20"/>
      <w:lang w:val="en-CA"/>
    </w:rPr>
  </w:style>
  <w:style w:type="paragraph" w:customStyle="1" w:styleId="IFDNumL8">
    <w:name w:val="IFDNum L8"/>
    <w:basedOn w:val="Normal"/>
    <w:rsid w:val="00C73275"/>
    <w:pPr>
      <w:numPr>
        <w:ilvl w:val="7"/>
        <w:numId w:val="21"/>
      </w:numPr>
      <w:spacing w:after="240" w:line="360" w:lineRule="auto"/>
      <w:jc w:val="both"/>
    </w:pPr>
    <w:rPr>
      <w:rFonts w:ascii="Arial" w:hAnsi="Arial" w:cs="Arial"/>
      <w:szCs w:val="20"/>
      <w:lang w:val="en-CA"/>
    </w:rPr>
  </w:style>
  <w:style w:type="paragraph" w:customStyle="1" w:styleId="IFDNumL9">
    <w:name w:val="IFDNum L9"/>
    <w:basedOn w:val="Normal"/>
    <w:rsid w:val="00C73275"/>
    <w:pPr>
      <w:numPr>
        <w:ilvl w:val="8"/>
        <w:numId w:val="21"/>
      </w:numPr>
      <w:spacing w:after="240" w:line="360" w:lineRule="auto"/>
      <w:jc w:val="both"/>
    </w:pPr>
    <w:rPr>
      <w:rFonts w:ascii="Arial" w:hAnsi="Arial" w:cs="Arial"/>
      <w:szCs w:val="20"/>
      <w:lang w:val="en-CA"/>
    </w:rPr>
  </w:style>
  <w:style w:type="character" w:customStyle="1" w:styleId="FootnoteTextChar1">
    <w:name w:val="Footnote Text Char1"/>
    <w:uiPriority w:val="99"/>
    <w:semiHidden/>
    <w:locked/>
    <w:rsid w:val="00FD145D"/>
    <w:rPr>
      <w:rFonts w:ascii="Calibri" w:hAnsi="Calibri"/>
      <w:lang w:val="en-US" w:eastAsia="en-US"/>
    </w:rPr>
  </w:style>
  <w:style w:type="paragraph" w:customStyle="1" w:styleId="OKTnsIndent">
    <w:name w:val="OKTnsIndent"/>
    <w:basedOn w:val="Normal"/>
    <w:rsid w:val="004F42C3"/>
    <w:pPr>
      <w:keepLines/>
      <w:spacing w:after="240" w:line="240" w:lineRule="auto"/>
      <w:ind w:left="432"/>
    </w:pPr>
    <w:rPr>
      <w:sz w:val="24"/>
      <w:szCs w:val="20"/>
      <w:lang w:val="en-CA"/>
    </w:rPr>
  </w:style>
  <w:style w:type="character" w:styleId="CommentReference">
    <w:name w:val="annotation reference"/>
    <w:basedOn w:val="DefaultParagraphFont"/>
    <w:rsid w:val="007D763D"/>
    <w:rPr>
      <w:sz w:val="18"/>
      <w:szCs w:val="18"/>
    </w:rPr>
  </w:style>
  <w:style w:type="paragraph" w:styleId="CommentText">
    <w:name w:val="annotation text"/>
    <w:basedOn w:val="Normal"/>
    <w:link w:val="CommentTextChar"/>
    <w:rsid w:val="007D763D"/>
    <w:pPr>
      <w:spacing w:line="240" w:lineRule="auto"/>
    </w:pPr>
    <w:rPr>
      <w:sz w:val="24"/>
      <w:szCs w:val="24"/>
    </w:rPr>
  </w:style>
  <w:style w:type="character" w:customStyle="1" w:styleId="CommentTextChar">
    <w:name w:val="Comment Text Char"/>
    <w:basedOn w:val="DefaultParagraphFont"/>
    <w:link w:val="CommentText"/>
    <w:rsid w:val="007D763D"/>
    <w:rPr>
      <w:sz w:val="24"/>
      <w:szCs w:val="24"/>
      <w:lang w:val="en-US" w:eastAsia="en-US"/>
    </w:rPr>
  </w:style>
  <w:style w:type="paragraph" w:styleId="CommentSubject">
    <w:name w:val="annotation subject"/>
    <w:basedOn w:val="CommentText"/>
    <w:next w:val="CommentText"/>
    <w:link w:val="CommentSubjectChar"/>
    <w:rsid w:val="007D763D"/>
    <w:rPr>
      <w:b/>
      <w:bCs/>
      <w:sz w:val="20"/>
      <w:szCs w:val="20"/>
    </w:rPr>
  </w:style>
  <w:style w:type="character" w:customStyle="1" w:styleId="CommentSubjectChar">
    <w:name w:val="Comment Subject Char"/>
    <w:basedOn w:val="CommentTextChar"/>
    <w:link w:val="CommentSubject"/>
    <w:rsid w:val="007D763D"/>
    <w:rPr>
      <w:b/>
      <w:bCs/>
      <w:sz w:val="24"/>
      <w:szCs w:val="24"/>
      <w:lang w:val="en-US" w:eastAsia="en-US"/>
    </w:rPr>
  </w:style>
  <w:style w:type="paragraph" w:styleId="Revision">
    <w:name w:val="Revision"/>
    <w:hidden/>
    <w:uiPriority w:val="99"/>
    <w:semiHidden/>
    <w:rsid w:val="007D763D"/>
    <w:rPr>
      <w:sz w:val="22"/>
      <w:szCs w:val="22"/>
      <w:lang w:val="en-US" w:eastAsia="en-US"/>
    </w:rPr>
  </w:style>
  <w:style w:type="paragraph" w:customStyle="1" w:styleId="DefaultText">
    <w:name w:val="Default Text"/>
    <w:basedOn w:val="Normal"/>
    <w:rsid w:val="00590F34"/>
    <w:pPr>
      <w:spacing w:after="0" w:line="240" w:lineRule="atLeast"/>
    </w:pPr>
    <w:rPr>
      <w:sz w:val="24"/>
      <w:szCs w:val="20"/>
      <w:lang w:val="en-GB"/>
    </w:rPr>
  </w:style>
  <w:style w:type="character" w:customStyle="1" w:styleId="reflex3-block">
    <w:name w:val="reflex3-block"/>
    <w:basedOn w:val="DefaultParagraphFont"/>
    <w:rsid w:val="00B6456B"/>
  </w:style>
  <w:style w:type="character" w:customStyle="1" w:styleId="reflex3-alt">
    <w:name w:val="reflex3-alt"/>
    <w:basedOn w:val="DefaultParagraphFont"/>
    <w:rsid w:val="00B6456B"/>
  </w:style>
  <w:style w:type="character" w:customStyle="1" w:styleId="DocID">
    <w:name w:val="DocID"/>
    <w:basedOn w:val="DefaultParagraphFont"/>
    <w:rsid w:val="00BB6855"/>
    <w:rPr>
      <w:rFonts w:ascii="Arial" w:hAnsi="Arial" w:cs="Arial"/>
      <w:b w:val="0"/>
      <w:i w:val="0"/>
      <w:caps w:val="0"/>
      <w:vanish w:val="0"/>
      <w:color w:val="000000"/>
      <w:sz w:val="12"/>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76"/>
    <w:pPr>
      <w:spacing w:after="200" w:line="276" w:lineRule="auto"/>
    </w:pPr>
    <w:rPr>
      <w:sz w:val="22"/>
      <w:szCs w:val="22"/>
      <w:lang w:val="en-US" w:eastAsia="en-US"/>
    </w:rPr>
  </w:style>
  <w:style w:type="paragraph" w:styleId="Heading1">
    <w:name w:val="heading 1"/>
    <w:basedOn w:val="Heading10"/>
    <w:next w:val="Normal"/>
    <w:qFormat/>
    <w:rsid w:val="0070185B"/>
    <w:rPr>
      <w:rFonts w:cs="Arial"/>
      <w:bCs/>
    </w:rPr>
  </w:style>
  <w:style w:type="paragraph" w:styleId="Heading2">
    <w:name w:val="heading 2"/>
    <w:basedOn w:val="Heading20"/>
    <w:next w:val="Normal"/>
    <w:qFormat/>
    <w:rsid w:val="0070185B"/>
    <w:rPr>
      <w:rFonts w:cs="Arial"/>
      <w:bCs/>
      <w:iCs/>
      <w:szCs w:val="28"/>
    </w:rPr>
  </w:style>
  <w:style w:type="paragraph" w:styleId="Heading3">
    <w:name w:val="heading 3"/>
    <w:basedOn w:val="Heading30"/>
    <w:next w:val="Normal"/>
    <w:qFormat/>
    <w:rsid w:val="0070185B"/>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aliases w:val="H1"/>
    <w:basedOn w:val="NormalSingle"/>
    <w:next w:val="Normal"/>
    <w:rsid w:val="00FC6EE9"/>
    <w:pPr>
      <w:keepNext/>
      <w:spacing w:before="120" w:after="120"/>
      <w:jc w:val="left"/>
      <w:outlineLvl w:val="0"/>
    </w:pPr>
    <w:rPr>
      <w:rFonts w:ascii="Arial" w:hAnsi="Arial"/>
      <w:b/>
      <w:caps/>
      <w:sz w:val="28"/>
      <w:szCs w:val="28"/>
    </w:rPr>
  </w:style>
  <w:style w:type="paragraph" w:customStyle="1" w:styleId="NormalSingle">
    <w:name w:val="Normal Single"/>
    <w:rsid w:val="004325E6"/>
    <w:pPr>
      <w:spacing w:after="240"/>
      <w:jc w:val="both"/>
    </w:pPr>
    <w:rPr>
      <w:sz w:val="24"/>
      <w:lang w:eastAsia="en-US"/>
    </w:rPr>
  </w:style>
  <w:style w:type="paragraph" w:customStyle="1" w:styleId="Heading20">
    <w:name w:val="Heading2"/>
    <w:aliases w:val="H2"/>
    <w:basedOn w:val="NormalSingle"/>
    <w:next w:val="Normal"/>
    <w:rsid w:val="00FC6EE9"/>
    <w:pPr>
      <w:keepNext/>
      <w:spacing w:before="120" w:after="120"/>
      <w:jc w:val="left"/>
      <w:outlineLvl w:val="1"/>
    </w:pPr>
    <w:rPr>
      <w:rFonts w:ascii="Arial" w:hAnsi="Arial"/>
      <w:b/>
      <w:sz w:val="28"/>
    </w:rPr>
  </w:style>
  <w:style w:type="paragraph" w:customStyle="1" w:styleId="Heading30">
    <w:name w:val="Heading3"/>
    <w:aliases w:val="H3"/>
    <w:basedOn w:val="NormalSingle"/>
    <w:next w:val="Normal"/>
    <w:rsid w:val="00FC6EE9"/>
    <w:pPr>
      <w:keepNext/>
      <w:spacing w:before="120" w:after="120"/>
      <w:jc w:val="left"/>
      <w:outlineLvl w:val="2"/>
    </w:pPr>
    <w:rPr>
      <w:rFonts w:ascii="Arial" w:hAnsi="Arial"/>
      <w:b/>
      <w:caps/>
      <w:szCs w:val="24"/>
    </w:rPr>
  </w:style>
  <w:style w:type="paragraph" w:customStyle="1" w:styleId="Indent">
    <w:name w:val="Indent"/>
    <w:aliases w:val="In"/>
    <w:basedOn w:val="Normal"/>
    <w:pPr>
      <w:ind w:left="720"/>
    </w:pPr>
    <w:rPr>
      <w:szCs w:val="20"/>
    </w:rPr>
  </w:style>
  <w:style w:type="paragraph" w:styleId="Footer">
    <w:name w:val="footer"/>
    <w:basedOn w:val="NormalSingle"/>
    <w:link w:val="FooterChar"/>
    <w:uiPriority w:val="99"/>
    <w:rsid w:val="00693D69"/>
    <w:pPr>
      <w:tabs>
        <w:tab w:val="center" w:pos="4680"/>
        <w:tab w:val="right" w:pos="9360"/>
      </w:tabs>
      <w:spacing w:after="0"/>
      <w:jc w:val="left"/>
    </w:pPr>
  </w:style>
  <w:style w:type="paragraph" w:styleId="Header">
    <w:name w:val="header"/>
    <w:basedOn w:val="NormalSingle"/>
    <w:link w:val="HeaderChar"/>
    <w:rsid w:val="00D821FF"/>
    <w:pPr>
      <w:tabs>
        <w:tab w:val="center" w:pos="4680"/>
        <w:tab w:val="right" w:pos="9360"/>
      </w:tabs>
      <w:jc w:val="left"/>
    </w:pPr>
  </w:style>
  <w:style w:type="paragraph" w:customStyle="1" w:styleId="Bullet">
    <w:name w:val="Bullet"/>
    <w:aliases w:val="BL"/>
    <w:basedOn w:val="Normal"/>
    <w:rsid w:val="0070185B"/>
    <w:pPr>
      <w:numPr>
        <w:numId w:val="1"/>
      </w:numPr>
    </w:pPr>
    <w:rPr>
      <w:szCs w:val="20"/>
    </w:rPr>
  </w:style>
  <w:style w:type="paragraph" w:customStyle="1" w:styleId="Block">
    <w:name w:val="Block"/>
    <w:aliases w:val="B"/>
    <w:basedOn w:val="Normal"/>
    <w:pPr>
      <w:ind w:left="720" w:right="720"/>
    </w:pPr>
    <w:rPr>
      <w:szCs w:val="20"/>
    </w:rPr>
  </w:style>
  <w:style w:type="paragraph" w:customStyle="1" w:styleId="Block1">
    <w:name w:val="Block1"/>
    <w:aliases w:val="B1"/>
    <w:basedOn w:val="Block"/>
    <w:pPr>
      <w:ind w:left="1440" w:right="1440"/>
    </w:pPr>
  </w:style>
  <w:style w:type="paragraph" w:customStyle="1" w:styleId="Centre">
    <w:name w:val="Centre"/>
    <w:basedOn w:val="Normal"/>
    <w:rsid w:val="00D1529A"/>
    <w:pPr>
      <w:jc w:val="center"/>
    </w:pPr>
    <w:rPr>
      <w:b/>
      <w:szCs w:val="20"/>
    </w:rPr>
  </w:style>
  <w:style w:type="paragraph" w:customStyle="1" w:styleId="Hanging">
    <w:name w:val="Hanging"/>
    <w:aliases w:val="H"/>
    <w:basedOn w:val="Normal"/>
    <w:pPr>
      <w:ind w:left="720" w:hanging="720"/>
    </w:pPr>
    <w:rPr>
      <w:szCs w:val="20"/>
    </w:rPr>
  </w:style>
  <w:style w:type="paragraph" w:customStyle="1" w:styleId="Indent1">
    <w:name w:val="Indent1"/>
    <w:aliases w:val="I1"/>
    <w:basedOn w:val="Indent"/>
    <w:pPr>
      <w:ind w:left="1440"/>
    </w:pPr>
  </w:style>
  <w:style w:type="paragraph" w:customStyle="1" w:styleId="Indent2">
    <w:name w:val="Indent2"/>
    <w:aliases w:val="I2"/>
    <w:basedOn w:val="Indent"/>
    <w:pPr>
      <w:ind w:left="2160"/>
    </w:pPr>
  </w:style>
  <w:style w:type="paragraph" w:customStyle="1" w:styleId="Left">
    <w:name w:val="Left"/>
    <w:aliases w:val="L"/>
    <w:basedOn w:val="Normal"/>
    <w:rsid w:val="000F56C8"/>
    <w:rPr>
      <w:szCs w:val="20"/>
    </w:rPr>
  </w:style>
  <w:style w:type="paragraph" w:customStyle="1" w:styleId="Plain">
    <w:name w:val="Plain"/>
    <w:aliases w:val="P"/>
    <w:basedOn w:val="Normal"/>
    <w:rsid w:val="00D821FF"/>
    <w:pPr>
      <w:spacing w:after="0"/>
    </w:pPr>
    <w:rPr>
      <w:szCs w:val="20"/>
    </w:rPr>
  </w:style>
  <w:style w:type="character" w:customStyle="1" w:styleId="Reference">
    <w:name w:val="Reference"/>
    <w:aliases w:val="Ref"/>
    <w:basedOn w:val="DefaultParagraphFont"/>
    <w:rsid w:val="00F63CAD"/>
    <w:rPr>
      <w:b/>
      <w:sz w:val="16"/>
      <w:szCs w:val="16"/>
    </w:rPr>
  </w:style>
  <w:style w:type="paragraph" w:customStyle="1" w:styleId="Right">
    <w:name w:val="Right"/>
    <w:aliases w:val="R"/>
    <w:basedOn w:val="Normal"/>
    <w:pPr>
      <w:jc w:val="right"/>
    </w:pPr>
    <w:rPr>
      <w:szCs w:val="20"/>
    </w:rPr>
  </w:style>
  <w:style w:type="paragraph" w:customStyle="1" w:styleId="Heading1Centre">
    <w:name w:val="Heading1Centre"/>
    <w:aliases w:val="H1C"/>
    <w:basedOn w:val="Heading10"/>
    <w:next w:val="Normal"/>
    <w:rsid w:val="00F63CAD"/>
    <w:pPr>
      <w:spacing w:after="480"/>
      <w:jc w:val="center"/>
      <w:outlineLvl w:val="9"/>
    </w:pPr>
  </w:style>
  <w:style w:type="paragraph" w:customStyle="1" w:styleId="Heading2NoToc">
    <w:name w:val="Heading2NoToc"/>
    <w:aliases w:val="H2NT"/>
    <w:basedOn w:val="Heading20"/>
    <w:next w:val="Normal"/>
    <w:rsid w:val="0070185B"/>
    <w:pPr>
      <w:outlineLvl w:val="9"/>
    </w:pPr>
  </w:style>
  <w:style w:type="paragraph" w:customStyle="1" w:styleId="Tab">
    <w:name w:val="Tab"/>
    <w:aliases w:val="T"/>
    <w:basedOn w:val="Normal"/>
    <w:pPr>
      <w:ind w:firstLine="720"/>
    </w:pPr>
    <w:rPr>
      <w:szCs w:val="20"/>
    </w:rPr>
  </w:style>
  <w:style w:type="paragraph" w:customStyle="1" w:styleId="TableHeading">
    <w:name w:val="TableHeading"/>
    <w:aliases w:val="TH"/>
    <w:basedOn w:val="NormalSingle"/>
    <w:rsid w:val="009A605E"/>
    <w:pPr>
      <w:keepNext/>
      <w:keepLines/>
      <w:spacing w:before="120" w:after="120"/>
      <w:jc w:val="center"/>
    </w:pPr>
    <w:rPr>
      <w:b/>
    </w:rPr>
  </w:style>
  <w:style w:type="paragraph" w:customStyle="1" w:styleId="TableText">
    <w:name w:val="TableText"/>
    <w:aliases w:val="TT"/>
    <w:basedOn w:val="Normal"/>
    <w:rsid w:val="000F56C8"/>
    <w:pPr>
      <w:spacing w:before="60" w:after="60"/>
    </w:pPr>
  </w:style>
  <w:style w:type="character" w:styleId="PageNumber">
    <w:name w:val="page number"/>
    <w:basedOn w:val="DefaultParagraphFont"/>
    <w:rsid w:val="00F63CAD"/>
    <w:rPr>
      <w:sz w:val="24"/>
      <w:szCs w:val="24"/>
    </w:rPr>
  </w:style>
  <w:style w:type="character" w:customStyle="1" w:styleId="Prompt">
    <w:name w:val="Prompt"/>
    <w:aliases w:val="Pr"/>
    <w:basedOn w:val="DefaultParagraphFont"/>
    <w:uiPriority w:val="29"/>
    <w:qFormat/>
    <w:rPr>
      <w:color w:val="0000FF"/>
    </w:rPr>
  </w:style>
  <w:style w:type="paragraph" w:customStyle="1" w:styleId="PlainSingle">
    <w:name w:val="Plain Single"/>
    <w:basedOn w:val="NormalSingle"/>
    <w:rsid w:val="00D821FF"/>
    <w:pPr>
      <w:spacing w:after="0"/>
      <w:jc w:val="left"/>
    </w:pPr>
  </w:style>
  <w:style w:type="paragraph" w:customStyle="1" w:styleId="Tab1">
    <w:name w:val="Tab1"/>
    <w:aliases w:val="T1"/>
    <w:basedOn w:val="Tab"/>
    <w:rsid w:val="009517AD"/>
    <w:pPr>
      <w:ind w:firstLine="1440"/>
    </w:pPr>
  </w:style>
  <w:style w:type="paragraph" w:customStyle="1" w:styleId="Block2">
    <w:name w:val="Block2"/>
    <w:aliases w:val="B2"/>
    <w:basedOn w:val="Block"/>
    <w:rsid w:val="004B4003"/>
    <w:pPr>
      <w:ind w:left="2160" w:right="2160"/>
    </w:pPr>
  </w:style>
  <w:style w:type="paragraph" w:customStyle="1" w:styleId="Block3">
    <w:name w:val="Block3"/>
    <w:aliases w:val="B3"/>
    <w:basedOn w:val="Block"/>
    <w:rsid w:val="004B4003"/>
    <w:pPr>
      <w:ind w:left="2880" w:right="2880"/>
    </w:pPr>
  </w:style>
  <w:style w:type="paragraph" w:styleId="BalloonText">
    <w:name w:val="Balloon Text"/>
    <w:basedOn w:val="Normal"/>
    <w:semiHidden/>
    <w:rsid w:val="00E045BB"/>
    <w:rPr>
      <w:rFonts w:ascii="Tahoma" w:hAnsi="Tahoma"/>
      <w:sz w:val="16"/>
      <w:szCs w:val="16"/>
    </w:rPr>
  </w:style>
  <w:style w:type="paragraph" w:customStyle="1" w:styleId="Cite">
    <w:name w:val="Cite"/>
    <w:aliases w:val="C"/>
    <w:basedOn w:val="NormalSingle"/>
    <w:next w:val="Normal"/>
    <w:rsid w:val="001B1DF2"/>
    <w:pPr>
      <w:keepLines/>
      <w:ind w:left="1440" w:right="1440"/>
    </w:pPr>
    <w:rPr>
      <w:rFonts w:ascii="Arial" w:hAnsi="Arial"/>
      <w:i/>
      <w:sz w:val="20"/>
    </w:rPr>
  </w:style>
  <w:style w:type="paragraph" w:customStyle="1" w:styleId="Indent3">
    <w:name w:val="Indent3"/>
    <w:aliases w:val="I3"/>
    <w:basedOn w:val="Indent"/>
    <w:rsid w:val="000F227D"/>
    <w:pPr>
      <w:ind w:left="2880"/>
    </w:pPr>
  </w:style>
  <w:style w:type="paragraph" w:customStyle="1" w:styleId="Quote1">
    <w:name w:val="Quote1"/>
    <w:aliases w:val="Q"/>
    <w:basedOn w:val="NormalSingle"/>
    <w:next w:val="Normal"/>
    <w:rsid w:val="001B1DF2"/>
    <w:pPr>
      <w:ind w:left="1440" w:right="1440"/>
    </w:pPr>
    <w:rPr>
      <w:i/>
    </w:rPr>
  </w:style>
  <w:style w:type="paragraph" w:customStyle="1" w:styleId="Heading4">
    <w:name w:val="Heading4"/>
    <w:aliases w:val="H4"/>
    <w:basedOn w:val="NormalSingle"/>
    <w:next w:val="Normal"/>
    <w:rsid w:val="00FC6EE9"/>
    <w:pPr>
      <w:keepNext/>
      <w:spacing w:before="120" w:after="120"/>
      <w:jc w:val="left"/>
      <w:outlineLvl w:val="3"/>
    </w:pPr>
    <w:rPr>
      <w:rFonts w:ascii="Arial" w:hAnsi="Arial"/>
      <w:b/>
    </w:rPr>
  </w:style>
  <w:style w:type="paragraph" w:customStyle="1" w:styleId="Heading5">
    <w:name w:val="Heading5"/>
    <w:aliases w:val="H5"/>
    <w:basedOn w:val="NormalSingle"/>
    <w:next w:val="Normal"/>
    <w:rsid w:val="00FC6EE9"/>
    <w:pPr>
      <w:keepNext/>
      <w:spacing w:before="120" w:after="120"/>
      <w:jc w:val="left"/>
      <w:outlineLvl w:val="4"/>
    </w:pPr>
    <w:rPr>
      <w:rFonts w:ascii="Arial" w:hAnsi="Arial"/>
      <w:b/>
      <w:i/>
    </w:rPr>
  </w:style>
  <w:style w:type="character" w:styleId="Hyperlink">
    <w:name w:val="Hyperlink"/>
    <w:basedOn w:val="DefaultParagraphFont"/>
    <w:uiPriority w:val="99"/>
    <w:unhideWhenUsed/>
    <w:rsid w:val="00786AD8"/>
    <w:rPr>
      <w:color w:val="0000FF"/>
      <w:u w:val="single"/>
    </w:rPr>
  </w:style>
  <w:style w:type="character" w:customStyle="1" w:styleId="HeaderChar">
    <w:name w:val="Header Char"/>
    <w:basedOn w:val="DefaultParagraphFont"/>
    <w:link w:val="Header"/>
    <w:uiPriority w:val="99"/>
    <w:rsid w:val="00786AD8"/>
    <w:rPr>
      <w:sz w:val="24"/>
      <w:lang w:eastAsia="en-US"/>
    </w:rPr>
  </w:style>
  <w:style w:type="paragraph" w:styleId="ListParagraph">
    <w:name w:val="List Paragraph"/>
    <w:basedOn w:val="Normal"/>
    <w:uiPriority w:val="34"/>
    <w:qFormat/>
    <w:rsid w:val="00786AD8"/>
    <w:pPr>
      <w:ind w:left="720"/>
      <w:contextualSpacing/>
    </w:pPr>
  </w:style>
  <w:style w:type="paragraph" w:customStyle="1" w:styleId="FactumBodyL1">
    <w:name w:val="Factum Body L1"/>
    <w:basedOn w:val="Normal"/>
    <w:rsid w:val="00786AD8"/>
    <w:pPr>
      <w:numPr>
        <w:numId w:val="14"/>
      </w:numPr>
      <w:spacing w:after="240" w:line="480" w:lineRule="auto"/>
      <w:jc w:val="both"/>
    </w:pPr>
    <w:rPr>
      <w:rFonts w:ascii="Arial" w:hAnsi="Arial" w:cs="Arial"/>
      <w:szCs w:val="20"/>
      <w:lang w:val="en-CA"/>
    </w:rPr>
  </w:style>
  <w:style w:type="paragraph" w:customStyle="1" w:styleId="FactumBodyL2">
    <w:name w:val="Factum Body L2"/>
    <w:basedOn w:val="Normal"/>
    <w:rsid w:val="00786AD8"/>
    <w:pPr>
      <w:numPr>
        <w:ilvl w:val="1"/>
        <w:numId w:val="14"/>
      </w:numPr>
      <w:spacing w:after="240" w:line="480" w:lineRule="auto"/>
      <w:jc w:val="both"/>
    </w:pPr>
    <w:rPr>
      <w:rFonts w:ascii="Arial" w:hAnsi="Arial" w:cs="Arial"/>
      <w:szCs w:val="20"/>
      <w:lang w:val="en-CA"/>
    </w:rPr>
  </w:style>
  <w:style w:type="paragraph" w:customStyle="1" w:styleId="FactumBodyL3">
    <w:name w:val="Factum Body L3"/>
    <w:basedOn w:val="Normal"/>
    <w:rsid w:val="00786AD8"/>
    <w:pPr>
      <w:numPr>
        <w:ilvl w:val="2"/>
        <w:numId w:val="14"/>
      </w:numPr>
      <w:spacing w:after="240" w:line="480" w:lineRule="auto"/>
      <w:jc w:val="both"/>
    </w:pPr>
    <w:rPr>
      <w:rFonts w:ascii="Arial" w:hAnsi="Arial" w:cs="Arial"/>
      <w:szCs w:val="20"/>
      <w:lang w:val="en-CA"/>
    </w:rPr>
  </w:style>
  <w:style w:type="paragraph" w:customStyle="1" w:styleId="FactumBodyL4">
    <w:name w:val="Factum Body L4"/>
    <w:basedOn w:val="Normal"/>
    <w:rsid w:val="00786AD8"/>
    <w:pPr>
      <w:numPr>
        <w:ilvl w:val="3"/>
        <w:numId w:val="14"/>
      </w:numPr>
      <w:tabs>
        <w:tab w:val="left" w:pos="3600"/>
      </w:tabs>
      <w:spacing w:after="240" w:line="480" w:lineRule="auto"/>
      <w:jc w:val="both"/>
    </w:pPr>
    <w:rPr>
      <w:rFonts w:ascii="Arial" w:hAnsi="Arial" w:cs="Arial"/>
      <w:szCs w:val="20"/>
      <w:lang w:val="en-CA"/>
    </w:rPr>
  </w:style>
  <w:style w:type="paragraph" w:styleId="FootnoteText">
    <w:name w:val="footnote text"/>
    <w:basedOn w:val="Normal"/>
    <w:link w:val="FootnoteTextChar"/>
    <w:uiPriority w:val="99"/>
    <w:rsid w:val="00F01B76"/>
    <w:pPr>
      <w:spacing w:after="0" w:line="240" w:lineRule="auto"/>
    </w:pPr>
    <w:rPr>
      <w:rFonts w:ascii="Arial" w:hAnsi="Arial" w:cs="Arial"/>
      <w:sz w:val="18"/>
      <w:szCs w:val="20"/>
      <w:lang w:val="en-CA"/>
    </w:rPr>
  </w:style>
  <w:style w:type="character" w:customStyle="1" w:styleId="FootnoteTextChar">
    <w:name w:val="Footnote Text Char"/>
    <w:basedOn w:val="DefaultParagraphFont"/>
    <w:link w:val="FootnoteText"/>
    <w:uiPriority w:val="99"/>
    <w:rsid w:val="00F01B76"/>
    <w:rPr>
      <w:rFonts w:ascii="Arial" w:hAnsi="Arial" w:cs="Arial"/>
      <w:sz w:val="18"/>
      <w:lang w:eastAsia="en-US"/>
    </w:rPr>
  </w:style>
  <w:style w:type="character" w:styleId="FootnoteReference">
    <w:name w:val="footnote reference"/>
    <w:uiPriority w:val="99"/>
    <w:rsid w:val="00F01B76"/>
    <w:rPr>
      <w:rFonts w:ascii="Arial" w:hAnsi="Arial" w:cs="Arial"/>
      <w:vertAlign w:val="superscript"/>
    </w:rPr>
  </w:style>
  <w:style w:type="character" w:customStyle="1" w:styleId="FooterChar">
    <w:name w:val="Footer Char"/>
    <w:basedOn w:val="DefaultParagraphFont"/>
    <w:link w:val="Footer"/>
    <w:uiPriority w:val="99"/>
    <w:rsid w:val="007F6898"/>
    <w:rPr>
      <w:sz w:val="24"/>
      <w:lang w:eastAsia="en-US"/>
    </w:rPr>
  </w:style>
  <w:style w:type="paragraph" w:customStyle="1" w:styleId="FactumHeadingL1">
    <w:name w:val="Factum Heading L1"/>
    <w:basedOn w:val="Normal"/>
    <w:next w:val="FactumBodyL1"/>
    <w:rsid w:val="00E753BE"/>
    <w:pPr>
      <w:keepNext/>
      <w:keepLines/>
      <w:numPr>
        <w:numId w:val="16"/>
      </w:numPr>
      <w:spacing w:before="240" w:after="360" w:line="240" w:lineRule="auto"/>
      <w:jc w:val="both"/>
      <w:outlineLvl w:val="0"/>
    </w:pPr>
    <w:rPr>
      <w:rFonts w:ascii="Arial" w:hAnsi="Arial" w:cs="Arial"/>
      <w:b/>
      <w:caps/>
      <w:szCs w:val="20"/>
      <w:lang w:val="en-CA"/>
    </w:rPr>
  </w:style>
  <w:style w:type="paragraph" w:customStyle="1" w:styleId="FactumHeadingL2">
    <w:name w:val="Factum Heading L2"/>
    <w:basedOn w:val="Normal"/>
    <w:next w:val="FactumBodyL1"/>
    <w:rsid w:val="00E753BE"/>
    <w:pPr>
      <w:keepNext/>
      <w:keepLines/>
      <w:numPr>
        <w:ilvl w:val="1"/>
        <w:numId w:val="16"/>
      </w:numPr>
      <w:spacing w:after="360" w:line="240" w:lineRule="auto"/>
      <w:jc w:val="both"/>
      <w:outlineLvl w:val="1"/>
    </w:pPr>
    <w:rPr>
      <w:rFonts w:ascii="Arial" w:hAnsi="Arial" w:cs="Arial"/>
      <w:b/>
      <w:szCs w:val="20"/>
      <w:lang w:val="en-CA"/>
    </w:rPr>
  </w:style>
  <w:style w:type="paragraph" w:customStyle="1" w:styleId="FactumHeadingL3">
    <w:name w:val="Factum Heading L3"/>
    <w:basedOn w:val="Normal"/>
    <w:next w:val="FactumBodyL1"/>
    <w:rsid w:val="00E753BE"/>
    <w:pPr>
      <w:keepNext/>
      <w:keepLines/>
      <w:numPr>
        <w:ilvl w:val="2"/>
        <w:numId w:val="16"/>
      </w:numPr>
      <w:spacing w:after="360" w:line="240" w:lineRule="auto"/>
      <w:jc w:val="both"/>
      <w:outlineLvl w:val="2"/>
    </w:pPr>
    <w:rPr>
      <w:rFonts w:ascii="Arial" w:hAnsi="Arial" w:cs="Arial"/>
      <w:b/>
      <w:szCs w:val="20"/>
      <w:lang w:val="en-CA"/>
    </w:rPr>
  </w:style>
  <w:style w:type="paragraph" w:customStyle="1" w:styleId="Addenda">
    <w:name w:val="Addenda"/>
    <w:basedOn w:val="Normal"/>
    <w:next w:val="Normal"/>
    <w:rsid w:val="002C4084"/>
    <w:pPr>
      <w:keepNext/>
      <w:keepLines/>
      <w:tabs>
        <w:tab w:val="right" w:pos="8640"/>
      </w:tabs>
      <w:spacing w:after="240" w:line="240" w:lineRule="auto"/>
      <w:jc w:val="center"/>
      <w:outlineLvl w:val="4"/>
    </w:pPr>
    <w:rPr>
      <w:rFonts w:ascii="Arial" w:hAnsi="Arial" w:cs="Arial"/>
      <w:b/>
      <w:szCs w:val="20"/>
      <w:lang w:val="en-CA"/>
    </w:rPr>
  </w:style>
  <w:style w:type="paragraph" w:customStyle="1" w:styleId="DocsID">
    <w:name w:val="DocsID"/>
    <w:basedOn w:val="Normal"/>
    <w:rsid w:val="002C4084"/>
    <w:pPr>
      <w:widowControl w:val="0"/>
      <w:spacing w:before="20" w:after="0" w:line="160" w:lineRule="exact"/>
    </w:pPr>
    <w:rPr>
      <w:rFonts w:ascii="Arial" w:hAnsi="Arial"/>
      <w:color w:val="000080"/>
      <w:sz w:val="16"/>
      <w:szCs w:val="13"/>
      <w:lang w:val="en-CA"/>
    </w:rPr>
  </w:style>
  <w:style w:type="paragraph" w:customStyle="1" w:styleId="IFDNumL1">
    <w:name w:val="IFDNum L1"/>
    <w:basedOn w:val="Normal"/>
    <w:rsid w:val="00C73275"/>
    <w:pPr>
      <w:numPr>
        <w:numId w:val="21"/>
      </w:numPr>
      <w:spacing w:before="120" w:after="120" w:line="480" w:lineRule="auto"/>
      <w:jc w:val="both"/>
    </w:pPr>
    <w:rPr>
      <w:rFonts w:ascii="Arial" w:hAnsi="Arial" w:cs="Arial"/>
      <w:szCs w:val="20"/>
      <w:lang w:val="en-CA"/>
    </w:rPr>
  </w:style>
  <w:style w:type="paragraph" w:customStyle="1" w:styleId="IFDNumL2">
    <w:name w:val="IFDNum L2"/>
    <w:basedOn w:val="Normal"/>
    <w:rsid w:val="00C73275"/>
    <w:pPr>
      <w:numPr>
        <w:ilvl w:val="1"/>
        <w:numId w:val="21"/>
      </w:numPr>
      <w:spacing w:after="240" w:line="360" w:lineRule="auto"/>
      <w:jc w:val="both"/>
    </w:pPr>
    <w:rPr>
      <w:rFonts w:ascii="Arial" w:hAnsi="Arial" w:cs="Arial"/>
      <w:szCs w:val="20"/>
      <w:lang w:val="en-CA"/>
    </w:rPr>
  </w:style>
  <w:style w:type="paragraph" w:customStyle="1" w:styleId="IFDNumL3">
    <w:name w:val="IFDNum L3"/>
    <w:basedOn w:val="Normal"/>
    <w:rsid w:val="00C73275"/>
    <w:pPr>
      <w:numPr>
        <w:ilvl w:val="2"/>
        <w:numId w:val="21"/>
      </w:numPr>
      <w:spacing w:after="240" w:line="360" w:lineRule="auto"/>
      <w:jc w:val="both"/>
    </w:pPr>
    <w:rPr>
      <w:rFonts w:ascii="Arial" w:hAnsi="Arial" w:cs="Arial"/>
      <w:szCs w:val="20"/>
      <w:lang w:val="en-CA"/>
    </w:rPr>
  </w:style>
  <w:style w:type="paragraph" w:customStyle="1" w:styleId="IFDNumL4">
    <w:name w:val="IFDNum L4"/>
    <w:basedOn w:val="Normal"/>
    <w:rsid w:val="00C73275"/>
    <w:pPr>
      <w:numPr>
        <w:ilvl w:val="3"/>
        <w:numId w:val="21"/>
      </w:numPr>
      <w:spacing w:after="240" w:line="360" w:lineRule="auto"/>
      <w:jc w:val="both"/>
    </w:pPr>
    <w:rPr>
      <w:rFonts w:ascii="Arial" w:hAnsi="Arial" w:cs="Arial"/>
      <w:szCs w:val="20"/>
      <w:lang w:val="en-CA"/>
    </w:rPr>
  </w:style>
  <w:style w:type="paragraph" w:customStyle="1" w:styleId="IFDNumL5">
    <w:name w:val="IFDNum L5"/>
    <w:basedOn w:val="Normal"/>
    <w:rsid w:val="00C73275"/>
    <w:pPr>
      <w:numPr>
        <w:ilvl w:val="4"/>
        <w:numId w:val="21"/>
      </w:numPr>
      <w:spacing w:after="240" w:line="360" w:lineRule="auto"/>
      <w:jc w:val="both"/>
    </w:pPr>
    <w:rPr>
      <w:rFonts w:ascii="Arial" w:hAnsi="Arial" w:cs="Arial"/>
      <w:szCs w:val="20"/>
      <w:lang w:val="en-CA"/>
    </w:rPr>
  </w:style>
  <w:style w:type="paragraph" w:customStyle="1" w:styleId="IFDNumL6">
    <w:name w:val="IFDNum L6"/>
    <w:basedOn w:val="Normal"/>
    <w:rsid w:val="00C73275"/>
    <w:pPr>
      <w:numPr>
        <w:ilvl w:val="5"/>
        <w:numId w:val="21"/>
      </w:numPr>
      <w:spacing w:after="240" w:line="360" w:lineRule="auto"/>
      <w:jc w:val="both"/>
    </w:pPr>
    <w:rPr>
      <w:rFonts w:ascii="Arial" w:hAnsi="Arial" w:cs="Arial"/>
      <w:szCs w:val="20"/>
      <w:lang w:val="en-CA"/>
    </w:rPr>
  </w:style>
  <w:style w:type="paragraph" w:customStyle="1" w:styleId="IFDNumL7">
    <w:name w:val="IFDNum L7"/>
    <w:basedOn w:val="Normal"/>
    <w:rsid w:val="00C73275"/>
    <w:pPr>
      <w:numPr>
        <w:ilvl w:val="6"/>
        <w:numId w:val="21"/>
      </w:numPr>
      <w:spacing w:after="240" w:line="360" w:lineRule="auto"/>
      <w:jc w:val="both"/>
    </w:pPr>
    <w:rPr>
      <w:rFonts w:ascii="Arial" w:hAnsi="Arial" w:cs="Arial"/>
      <w:szCs w:val="20"/>
      <w:lang w:val="en-CA"/>
    </w:rPr>
  </w:style>
  <w:style w:type="paragraph" w:customStyle="1" w:styleId="IFDNumL8">
    <w:name w:val="IFDNum L8"/>
    <w:basedOn w:val="Normal"/>
    <w:rsid w:val="00C73275"/>
    <w:pPr>
      <w:numPr>
        <w:ilvl w:val="7"/>
        <w:numId w:val="21"/>
      </w:numPr>
      <w:spacing w:after="240" w:line="360" w:lineRule="auto"/>
      <w:jc w:val="both"/>
    </w:pPr>
    <w:rPr>
      <w:rFonts w:ascii="Arial" w:hAnsi="Arial" w:cs="Arial"/>
      <w:szCs w:val="20"/>
      <w:lang w:val="en-CA"/>
    </w:rPr>
  </w:style>
  <w:style w:type="paragraph" w:customStyle="1" w:styleId="IFDNumL9">
    <w:name w:val="IFDNum L9"/>
    <w:basedOn w:val="Normal"/>
    <w:rsid w:val="00C73275"/>
    <w:pPr>
      <w:numPr>
        <w:ilvl w:val="8"/>
        <w:numId w:val="21"/>
      </w:numPr>
      <w:spacing w:after="240" w:line="360" w:lineRule="auto"/>
      <w:jc w:val="both"/>
    </w:pPr>
    <w:rPr>
      <w:rFonts w:ascii="Arial" w:hAnsi="Arial" w:cs="Arial"/>
      <w:szCs w:val="20"/>
      <w:lang w:val="en-CA"/>
    </w:rPr>
  </w:style>
  <w:style w:type="character" w:customStyle="1" w:styleId="FootnoteTextChar1">
    <w:name w:val="Footnote Text Char1"/>
    <w:uiPriority w:val="99"/>
    <w:semiHidden/>
    <w:locked/>
    <w:rsid w:val="00FD145D"/>
    <w:rPr>
      <w:rFonts w:ascii="Calibri" w:hAnsi="Calibri"/>
      <w:lang w:val="en-US" w:eastAsia="en-US"/>
    </w:rPr>
  </w:style>
  <w:style w:type="paragraph" w:customStyle="1" w:styleId="OKTnsIndent">
    <w:name w:val="OKTnsIndent"/>
    <w:basedOn w:val="Normal"/>
    <w:rsid w:val="004F42C3"/>
    <w:pPr>
      <w:keepLines/>
      <w:spacing w:after="240" w:line="240" w:lineRule="auto"/>
      <w:ind w:left="432"/>
    </w:pPr>
    <w:rPr>
      <w:sz w:val="24"/>
      <w:szCs w:val="20"/>
      <w:lang w:val="en-CA"/>
    </w:rPr>
  </w:style>
  <w:style w:type="character" w:styleId="CommentReference">
    <w:name w:val="annotation reference"/>
    <w:basedOn w:val="DefaultParagraphFont"/>
    <w:rsid w:val="007D763D"/>
    <w:rPr>
      <w:sz w:val="18"/>
      <w:szCs w:val="18"/>
    </w:rPr>
  </w:style>
  <w:style w:type="paragraph" w:styleId="CommentText">
    <w:name w:val="annotation text"/>
    <w:basedOn w:val="Normal"/>
    <w:link w:val="CommentTextChar"/>
    <w:rsid w:val="007D763D"/>
    <w:pPr>
      <w:spacing w:line="240" w:lineRule="auto"/>
    </w:pPr>
    <w:rPr>
      <w:sz w:val="24"/>
      <w:szCs w:val="24"/>
    </w:rPr>
  </w:style>
  <w:style w:type="character" w:customStyle="1" w:styleId="CommentTextChar">
    <w:name w:val="Comment Text Char"/>
    <w:basedOn w:val="DefaultParagraphFont"/>
    <w:link w:val="CommentText"/>
    <w:rsid w:val="007D763D"/>
    <w:rPr>
      <w:sz w:val="24"/>
      <w:szCs w:val="24"/>
      <w:lang w:val="en-US" w:eastAsia="en-US"/>
    </w:rPr>
  </w:style>
  <w:style w:type="paragraph" w:styleId="CommentSubject">
    <w:name w:val="annotation subject"/>
    <w:basedOn w:val="CommentText"/>
    <w:next w:val="CommentText"/>
    <w:link w:val="CommentSubjectChar"/>
    <w:rsid w:val="007D763D"/>
    <w:rPr>
      <w:b/>
      <w:bCs/>
      <w:sz w:val="20"/>
      <w:szCs w:val="20"/>
    </w:rPr>
  </w:style>
  <w:style w:type="character" w:customStyle="1" w:styleId="CommentSubjectChar">
    <w:name w:val="Comment Subject Char"/>
    <w:basedOn w:val="CommentTextChar"/>
    <w:link w:val="CommentSubject"/>
    <w:rsid w:val="007D763D"/>
    <w:rPr>
      <w:b/>
      <w:bCs/>
      <w:sz w:val="24"/>
      <w:szCs w:val="24"/>
      <w:lang w:val="en-US" w:eastAsia="en-US"/>
    </w:rPr>
  </w:style>
  <w:style w:type="paragraph" w:styleId="Revision">
    <w:name w:val="Revision"/>
    <w:hidden/>
    <w:uiPriority w:val="99"/>
    <w:semiHidden/>
    <w:rsid w:val="007D763D"/>
    <w:rPr>
      <w:sz w:val="22"/>
      <w:szCs w:val="22"/>
      <w:lang w:val="en-US" w:eastAsia="en-US"/>
    </w:rPr>
  </w:style>
  <w:style w:type="paragraph" w:customStyle="1" w:styleId="DefaultText">
    <w:name w:val="Default Text"/>
    <w:basedOn w:val="Normal"/>
    <w:rsid w:val="00590F34"/>
    <w:pPr>
      <w:spacing w:after="0" w:line="240" w:lineRule="atLeast"/>
    </w:pPr>
    <w:rPr>
      <w:sz w:val="24"/>
      <w:szCs w:val="20"/>
      <w:lang w:val="en-GB"/>
    </w:rPr>
  </w:style>
  <w:style w:type="character" w:customStyle="1" w:styleId="reflex3-block">
    <w:name w:val="reflex3-block"/>
    <w:basedOn w:val="DefaultParagraphFont"/>
    <w:rsid w:val="00B6456B"/>
  </w:style>
  <w:style w:type="character" w:customStyle="1" w:styleId="reflex3-alt">
    <w:name w:val="reflex3-alt"/>
    <w:basedOn w:val="DefaultParagraphFont"/>
    <w:rsid w:val="00B6456B"/>
  </w:style>
  <w:style w:type="character" w:customStyle="1" w:styleId="DocID">
    <w:name w:val="DocID"/>
    <w:basedOn w:val="DefaultParagraphFont"/>
    <w:rsid w:val="00BB6855"/>
    <w:rPr>
      <w:rFonts w:ascii="Arial" w:hAnsi="Arial" w:cs="Arial"/>
      <w:b w:val="0"/>
      <w:i w:val="0"/>
      <w:caps w:val="0"/>
      <w:vanish w:val="0"/>
      <w:color w:val="000000"/>
      <w:sz w:val="12"/>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3166">
      <w:bodyDiv w:val="1"/>
      <w:marLeft w:val="0"/>
      <w:marRight w:val="0"/>
      <w:marTop w:val="0"/>
      <w:marBottom w:val="0"/>
      <w:divBdr>
        <w:top w:val="none" w:sz="0" w:space="0" w:color="auto"/>
        <w:left w:val="none" w:sz="0" w:space="0" w:color="auto"/>
        <w:bottom w:val="none" w:sz="0" w:space="0" w:color="auto"/>
        <w:right w:val="none" w:sz="0" w:space="0" w:color="auto"/>
      </w:divBdr>
    </w:div>
    <w:div w:id="360591259">
      <w:bodyDiv w:val="1"/>
      <w:marLeft w:val="0"/>
      <w:marRight w:val="0"/>
      <w:marTop w:val="0"/>
      <w:marBottom w:val="0"/>
      <w:divBdr>
        <w:top w:val="none" w:sz="0" w:space="0" w:color="auto"/>
        <w:left w:val="none" w:sz="0" w:space="0" w:color="auto"/>
        <w:bottom w:val="none" w:sz="0" w:space="0" w:color="auto"/>
        <w:right w:val="none" w:sz="0" w:space="0" w:color="auto"/>
      </w:divBdr>
    </w:div>
    <w:div w:id="366638213">
      <w:bodyDiv w:val="1"/>
      <w:marLeft w:val="0"/>
      <w:marRight w:val="0"/>
      <w:marTop w:val="0"/>
      <w:marBottom w:val="0"/>
      <w:divBdr>
        <w:top w:val="none" w:sz="0" w:space="0" w:color="auto"/>
        <w:left w:val="none" w:sz="0" w:space="0" w:color="auto"/>
        <w:bottom w:val="none" w:sz="0" w:space="0" w:color="auto"/>
        <w:right w:val="none" w:sz="0" w:space="0" w:color="auto"/>
      </w:divBdr>
    </w:div>
    <w:div w:id="916209052">
      <w:bodyDiv w:val="1"/>
      <w:marLeft w:val="0"/>
      <w:marRight w:val="0"/>
      <w:marTop w:val="0"/>
      <w:marBottom w:val="0"/>
      <w:divBdr>
        <w:top w:val="none" w:sz="0" w:space="0" w:color="auto"/>
        <w:left w:val="none" w:sz="0" w:space="0" w:color="auto"/>
        <w:bottom w:val="none" w:sz="0" w:space="0" w:color="auto"/>
        <w:right w:val="none" w:sz="0" w:space="0" w:color="auto"/>
      </w:divBdr>
    </w:div>
    <w:div w:id="923033237">
      <w:bodyDiv w:val="1"/>
      <w:marLeft w:val="0"/>
      <w:marRight w:val="0"/>
      <w:marTop w:val="0"/>
      <w:marBottom w:val="0"/>
      <w:divBdr>
        <w:top w:val="none" w:sz="0" w:space="0" w:color="auto"/>
        <w:left w:val="none" w:sz="0" w:space="0" w:color="auto"/>
        <w:bottom w:val="none" w:sz="0" w:space="0" w:color="auto"/>
        <w:right w:val="none" w:sz="0" w:space="0" w:color="auto"/>
      </w:divBdr>
    </w:div>
    <w:div w:id="1136070070">
      <w:bodyDiv w:val="1"/>
      <w:marLeft w:val="0"/>
      <w:marRight w:val="0"/>
      <w:marTop w:val="0"/>
      <w:marBottom w:val="0"/>
      <w:divBdr>
        <w:top w:val="none" w:sz="0" w:space="0" w:color="auto"/>
        <w:left w:val="none" w:sz="0" w:space="0" w:color="auto"/>
        <w:bottom w:val="none" w:sz="0" w:space="0" w:color="auto"/>
        <w:right w:val="none" w:sz="0" w:space="0" w:color="auto"/>
      </w:divBdr>
    </w:div>
    <w:div w:id="1258489257">
      <w:bodyDiv w:val="1"/>
      <w:marLeft w:val="0"/>
      <w:marRight w:val="0"/>
      <w:marTop w:val="0"/>
      <w:marBottom w:val="0"/>
      <w:divBdr>
        <w:top w:val="none" w:sz="0" w:space="0" w:color="auto"/>
        <w:left w:val="none" w:sz="0" w:space="0" w:color="auto"/>
        <w:bottom w:val="none" w:sz="0" w:space="0" w:color="auto"/>
        <w:right w:val="none" w:sz="0" w:space="0" w:color="auto"/>
      </w:divBdr>
    </w:div>
    <w:div w:id="1291008107">
      <w:bodyDiv w:val="1"/>
      <w:marLeft w:val="0"/>
      <w:marRight w:val="0"/>
      <w:marTop w:val="0"/>
      <w:marBottom w:val="0"/>
      <w:divBdr>
        <w:top w:val="none" w:sz="0" w:space="0" w:color="auto"/>
        <w:left w:val="none" w:sz="0" w:space="0" w:color="auto"/>
        <w:bottom w:val="none" w:sz="0" w:space="0" w:color="auto"/>
        <w:right w:val="none" w:sz="0" w:space="0" w:color="auto"/>
      </w:divBdr>
    </w:div>
    <w:div w:id="1331592547">
      <w:bodyDiv w:val="1"/>
      <w:marLeft w:val="0"/>
      <w:marRight w:val="0"/>
      <w:marTop w:val="0"/>
      <w:marBottom w:val="0"/>
      <w:divBdr>
        <w:top w:val="none" w:sz="0" w:space="0" w:color="auto"/>
        <w:left w:val="none" w:sz="0" w:space="0" w:color="auto"/>
        <w:bottom w:val="none" w:sz="0" w:space="0" w:color="auto"/>
        <w:right w:val="none" w:sz="0" w:space="0" w:color="auto"/>
      </w:divBdr>
      <w:divsChild>
        <w:div w:id="1596281243">
          <w:marLeft w:val="0"/>
          <w:marRight w:val="0"/>
          <w:marTop w:val="0"/>
          <w:marBottom w:val="0"/>
          <w:divBdr>
            <w:top w:val="none" w:sz="0" w:space="0" w:color="auto"/>
            <w:left w:val="none" w:sz="0" w:space="0" w:color="auto"/>
            <w:bottom w:val="none" w:sz="0" w:space="0" w:color="auto"/>
            <w:right w:val="none" w:sz="0" w:space="0" w:color="auto"/>
          </w:divBdr>
          <w:divsChild>
            <w:div w:id="298001516">
              <w:marLeft w:val="0"/>
              <w:marRight w:val="0"/>
              <w:marTop w:val="0"/>
              <w:marBottom w:val="0"/>
              <w:divBdr>
                <w:top w:val="none" w:sz="0" w:space="0" w:color="auto"/>
                <w:left w:val="none" w:sz="0" w:space="0" w:color="auto"/>
                <w:bottom w:val="none" w:sz="0" w:space="0" w:color="auto"/>
                <w:right w:val="none" w:sz="0" w:space="0" w:color="auto"/>
              </w:divBdr>
              <w:divsChild>
                <w:div w:id="1963993351">
                  <w:marLeft w:val="0"/>
                  <w:marRight w:val="0"/>
                  <w:marTop w:val="0"/>
                  <w:marBottom w:val="0"/>
                  <w:divBdr>
                    <w:top w:val="none" w:sz="0" w:space="0" w:color="auto"/>
                    <w:left w:val="none" w:sz="0" w:space="0" w:color="auto"/>
                    <w:bottom w:val="none" w:sz="0" w:space="0" w:color="auto"/>
                    <w:right w:val="none" w:sz="0" w:space="0" w:color="auto"/>
                  </w:divBdr>
                  <w:divsChild>
                    <w:div w:id="2000763794">
                      <w:marLeft w:val="0"/>
                      <w:marRight w:val="0"/>
                      <w:marTop w:val="45"/>
                      <w:marBottom w:val="0"/>
                      <w:divBdr>
                        <w:top w:val="none" w:sz="0" w:space="0" w:color="auto"/>
                        <w:left w:val="none" w:sz="0" w:space="0" w:color="auto"/>
                        <w:bottom w:val="none" w:sz="0" w:space="0" w:color="auto"/>
                        <w:right w:val="none" w:sz="0" w:space="0" w:color="auto"/>
                      </w:divBdr>
                      <w:divsChild>
                        <w:div w:id="1008362029">
                          <w:marLeft w:val="0"/>
                          <w:marRight w:val="0"/>
                          <w:marTop w:val="0"/>
                          <w:marBottom w:val="0"/>
                          <w:divBdr>
                            <w:top w:val="none" w:sz="0" w:space="0" w:color="auto"/>
                            <w:left w:val="none" w:sz="0" w:space="0" w:color="auto"/>
                            <w:bottom w:val="none" w:sz="0" w:space="0" w:color="auto"/>
                            <w:right w:val="none" w:sz="0" w:space="0" w:color="auto"/>
                          </w:divBdr>
                          <w:divsChild>
                            <w:div w:id="1285695392">
                              <w:marLeft w:val="2070"/>
                              <w:marRight w:val="3810"/>
                              <w:marTop w:val="0"/>
                              <w:marBottom w:val="0"/>
                              <w:divBdr>
                                <w:top w:val="none" w:sz="0" w:space="0" w:color="auto"/>
                                <w:left w:val="none" w:sz="0" w:space="0" w:color="auto"/>
                                <w:bottom w:val="none" w:sz="0" w:space="0" w:color="auto"/>
                                <w:right w:val="none" w:sz="0" w:space="0" w:color="auto"/>
                              </w:divBdr>
                              <w:divsChild>
                                <w:div w:id="355690502">
                                  <w:marLeft w:val="0"/>
                                  <w:marRight w:val="0"/>
                                  <w:marTop w:val="0"/>
                                  <w:marBottom w:val="0"/>
                                  <w:divBdr>
                                    <w:top w:val="none" w:sz="0" w:space="0" w:color="auto"/>
                                    <w:left w:val="none" w:sz="0" w:space="0" w:color="auto"/>
                                    <w:bottom w:val="none" w:sz="0" w:space="0" w:color="auto"/>
                                    <w:right w:val="none" w:sz="0" w:space="0" w:color="auto"/>
                                  </w:divBdr>
                                  <w:divsChild>
                                    <w:div w:id="803621890">
                                      <w:marLeft w:val="0"/>
                                      <w:marRight w:val="0"/>
                                      <w:marTop w:val="0"/>
                                      <w:marBottom w:val="0"/>
                                      <w:divBdr>
                                        <w:top w:val="none" w:sz="0" w:space="0" w:color="auto"/>
                                        <w:left w:val="none" w:sz="0" w:space="0" w:color="auto"/>
                                        <w:bottom w:val="none" w:sz="0" w:space="0" w:color="auto"/>
                                        <w:right w:val="none" w:sz="0" w:space="0" w:color="auto"/>
                                      </w:divBdr>
                                      <w:divsChild>
                                        <w:div w:id="976956871">
                                          <w:marLeft w:val="0"/>
                                          <w:marRight w:val="0"/>
                                          <w:marTop w:val="0"/>
                                          <w:marBottom w:val="0"/>
                                          <w:divBdr>
                                            <w:top w:val="none" w:sz="0" w:space="0" w:color="auto"/>
                                            <w:left w:val="none" w:sz="0" w:space="0" w:color="auto"/>
                                            <w:bottom w:val="none" w:sz="0" w:space="0" w:color="auto"/>
                                            <w:right w:val="none" w:sz="0" w:space="0" w:color="auto"/>
                                          </w:divBdr>
                                          <w:divsChild>
                                            <w:div w:id="2082287070">
                                              <w:marLeft w:val="0"/>
                                              <w:marRight w:val="0"/>
                                              <w:marTop w:val="0"/>
                                              <w:marBottom w:val="0"/>
                                              <w:divBdr>
                                                <w:top w:val="none" w:sz="0" w:space="0" w:color="auto"/>
                                                <w:left w:val="none" w:sz="0" w:space="0" w:color="auto"/>
                                                <w:bottom w:val="none" w:sz="0" w:space="0" w:color="auto"/>
                                                <w:right w:val="none" w:sz="0" w:space="0" w:color="auto"/>
                                              </w:divBdr>
                                              <w:divsChild>
                                                <w:div w:id="627510893">
                                                  <w:marLeft w:val="0"/>
                                                  <w:marRight w:val="0"/>
                                                  <w:marTop w:val="0"/>
                                                  <w:marBottom w:val="0"/>
                                                  <w:divBdr>
                                                    <w:top w:val="none" w:sz="0" w:space="0" w:color="auto"/>
                                                    <w:left w:val="none" w:sz="0" w:space="0" w:color="auto"/>
                                                    <w:bottom w:val="none" w:sz="0" w:space="0" w:color="auto"/>
                                                    <w:right w:val="none" w:sz="0" w:space="0" w:color="auto"/>
                                                  </w:divBdr>
                                                  <w:divsChild>
                                                    <w:div w:id="248078140">
                                                      <w:marLeft w:val="0"/>
                                                      <w:marRight w:val="0"/>
                                                      <w:marTop w:val="0"/>
                                                      <w:marBottom w:val="0"/>
                                                      <w:divBdr>
                                                        <w:top w:val="none" w:sz="0" w:space="0" w:color="auto"/>
                                                        <w:left w:val="none" w:sz="0" w:space="0" w:color="auto"/>
                                                        <w:bottom w:val="none" w:sz="0" w:space="0" w:color="auto"/>
                                                        <w:right w:val="none" w:sz="0" w:space="0" w:color="auto"/>
                                                      </w:divBdr>
                                                      <w:divsChild>
                                                        <w:div w:id="1107584344">
                                                          <w:marLeft w:val="0"/>
                                                          <w:marRight w:val="0"/>
                                                          <w:marTop w:val="0"/>
                                                          <w:marBottom w:val="345"/>
                                                          <w:divBdr>
                                                            <w:top w:val="none" w:sz="0" w:space="0" w:color="auto"/>
                                                            <w:left w:val="none" w:sz="0" w:space="0" w:color="auto"/>
                                                            <w:bottom w:val="none" w:sz="0" w:space="0" w:color="auto"/>
                                                            <w:right w:val="none" w:sz="0" w:space="0" w:color="auto"/>
                                                          </w:divBdr>
                                                          <w:divsChild>
                                                            <w:div w:id="785655382">
                                                              <w:marLeft w:val="0"/>
                                                              <w:marRight w:val="0"/>
                                                              <w:marTop w:val="0"/>
                                                              <w:marBottom w:val="0"/>
                                                              <w:divBdr>
                                                                <w:top w:val="none" w:sz="0" w:space="0" w:color="auto"/>
                                                                <w:left w:val="none" w:sz="0" w:space="0" w:color="auto"/>
                                                                <w:bottom w:val="none" w:sz="0" w:space="0" w:color="auto"/>
                                                                <w:right w:val="none" w:sz="0" w:space="0" w:color="auto"/>
                                                              </w:divBdr>
                                                              <w:divsChild>
                                                                <w:div w:id="29306794">
                                                                  <w:marLeft w:val="0"/>
                                                                  <w:marRight w:val="0"/>
                                                                  <w:marTop w:val="0"/>
                                                                  <w:marBottom w:val="0"/>
                                                                  <w:divBdr>
                                                                    <w:top w:val="none" w:sz="0" w:space="0" w:color="auto"/>
                                                                    <w:left w:val="none" w:sz="0" w:space="0" w:color="auto"/>
                                                                    <w:bottom w:val="none" w:sz="0" w:space="0" w:color="auto"/>
                                                                    <w:right w:val="none" w:sz="0" w:space="0" w:color="auto"/>
                                                                  </w:divBdr>
                                                                  <w:divsChild>
                                                                    <w:div w:id="960916995">
                                                                      <w:marLeft w:val="0"/>
                                                                      <w:marRight w:val="0"/>
                                                                      <w:marTop w:val="0"/>
                                                                      <w:marBottom w:val="0"/>
                                                                      <w:divBdr>
                                                                        <w:top w:val="none" w:sz="0" w:space="0" w:color="auto"/>
                                                                        <w:left w:val="none" w:sz="0" w:space="0" w:color="auto"/>
                                                                        <w:bottom w:val="none" w:sz="0" w:space="0" w:color="auto"/>
                                                                        <w:right w:val="none" w:sz="0" w:space="0" w:color="auto"/>
                                                                      </w:divBdr>
                                                                      <w:divsChild>
                                                                        <w:div w:id="5878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6123">
      <w:bodyDiv w:val="1"/>
      <w:marLeft w:val="0"/>
      <w:marRight w:val="0"/>
      <w:marTop w:val="0"/>
      <w:marBottom w:val="0"/>
      <w:divBdr>
        <w:top w:val="none" w:sz="0" w:space="0" w:color="auto"/>
        <w:left w:val="none" w:sz="0" w:space="0" w:color="auto"/>
        <w:bottom w:val="none" w:sz="0" w:space="0" w:color="auto"/>
        <w:right w:val="none" w:sz="0" w:space="0" w:color="auto"/>
      </w:divBdr>
    </w:div>
    <w:div w:id="1855415753">
      <w:bodyDiv w:val="1"/>
      <w:marLeft w:val="0"/>
      <w:marRight w:val="0"/>
      <w:marTop w:val="0"/>
      <w:marBottom w:val="0"/>
      <w:divBdr>
        <w:top w:val="none" w:sz="0" w:space="0" w:color="auto"/>
        <w:left w:val="none" w:sz="0" w:space="0" w:color="auto"/>
        <w:bottom w:val="none" w:sz="0" w:space="0" w:color="auto"/>
        <w:right w:val="none" w:sz="0" w:space="0" w:color="auto"/>
      </w:divBdr>
    </w:div>
    <w:div w:id="1904875525">
      <w:bodyDiv w:val="1"/>
      <w:marLeft w:val="0"/>
      <w:marRight w:val="0"/>
      <w:marTop w:val="0"/>
      <w:marBottom w:val="0"/>
      <w:divBdr>
        <w:top w:val="none" w:sz="0" w:space="0" w:color="auto"/>
        <w:left w:val="none" w:sz="0" w:space="0" w:color="auto"/>
        <w:bottom w:val="none" w:sz="0" w:space="0" w:color="auto"/>
        <w:right w:val="none" w:sz="0" w:space="0" w:color="auto"/>
      </w:divBdr>
      <w:divsChild>
        <w:div w:id="106437046">
          <w:marLeft w:val="0"/>
          <w:marRight w:val="0"/>
          <w:marTop w:val="0"/>
          <w:marBottom w:val="0"/>
          <w:divBdr>
            <w:top w:val="none" w:sz="0" w:space="0" w:color="auto"/>
            <w:left w:val="none" w:sz="0" w:space="0" w:color="auto"/>
            <w:bottom w:val="none" w:sz="0" w:space="0" w:color="auto"/>
            <w:right w:val="none" w:sz="0" w:space="0" w:color="auto"/>
          </w:divBdr>
          <w:divsChild>
            <w:div w:id="360399603">
              <w:marLeft w:val="0"/>
              <w:marRight w:val="0"/>
              <w:marTop w:val="0"/>
              <w:marBottom w:val="0"/>
              <w:divBdr>
                <w:top w:val="none" w:sz="0" w:space="0" w:color="auto"/>
                <w:left w:val="none" w:sz="0" w:space="0" w:color="auto"/>
                <w:bottom w:val="none" w:sz="0" w:space="0" w:color="auto"/>
                <w:right w:val="none" w:sz="0" w:space="0" w:color="auto"/>
              </w:divBdr>
              <w:divsChild>
                <w:div w:id="1529098150">
                  <w:marLeft w:val="0"/>
                  <w:marRight w:val="0"/>
                  <w:marTop w:val="0"/>
                  <w:marBottom w:val="0"/>
                  <w:divBdr>
                    <w:top w:val="none" w:sz="0" w:space="0" w:color="auto"/>
                    <w:left w:val="none" w:sz="0" w:space="0" w:color="auto"/>
                    <w:bottom w:val="none" w:sz="0" w:space="0" w:color="auto"/>
                    <w:right w:val="none" w:sz="0" w:space="0" w:color="auto"/>
                  </w:divBdr>
                  <w:divsChild>
                    <w:div w:id="3480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5619">
      <w:bodyDiv w:val="1"/>
      <w:marLeft w:val="0"/>
      <w:marRight w:val="0"/>
      <w:marTop w:val="0"/>
      <w:marBottom w:val="0"/>
      <w:divBdr>
        <w:top w:val="none" w:sz="0" w:space="0" w:color="auto"/>
        <w:left w:val="none" w:sz="0" w:space="0" w:color="auto"/>
        <w:bottom w:val="none" w:sz="0" w:space="0" w:color="auto"/>
        <w:right w:val="none" w:sz="0" w:space="0" w:color="auto"/>
      </w:divBdr>
    </w:div>
    <w:div w:id="21142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anlii.org/en/ca/laws/stat/schedule-b-to-the-canada-act-1982-uk-1982-c-11/latest/schedule-b-to-the-canada-act-1982-uk-1982-c-11.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anlii.org/en/ca/laws/stat/schedule-b-to-the-canada-act-1982-uk-1982-c-11/latest/schedule-b-to-the-canada-act-1982-uk-1982-c-11.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nlii.org/en/ca/laws/stat/schedule-b-to-the-canada-act-1982-uk-1982-c-11/latest/schedule-b-to-the-canada-act-1982-uk-1982-c-11.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5ED2F-FE93-415F-B225-12496AC8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38</TotalTime>
  <Pages>36</Pages>
  <Words>8228</Words>
  <Characters>42536</Characters>
  <Application>Microsoft Office Word</Application>
  <DocSecurity>0</DocSecurity>
  <Lines>354</Lines>
  <Paragraphs>101</Paragraphs>
  <ScaleCrop>false</ScaleCrop>
  <HeadingPairs>
    <vt:vector size="2" baseType="variant">
      <vt:variant>
        <vt:lpstr>Title</vt:lpstr>
      </vt:variant>
      <vt:variant>
        <vt:i4>1</vt:i4>
      </vt:variant>
    </vt:vector>
  </HeadingPairs>
  <TitlesOfParts>
    <vt:vector size="1" baseType="lpstr">
      <vt:lpstr>Blank</vt:lpstr>
    </vt:vector>
  </TitlesOfParts>
  <Company>Olthuis, Kleer, Townshend</Company>
  <LinksUpToDate>false</LinksUpToDate>
  <CharactersWithSpaces>50663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Krista Nerland</dc:creator>
  <dc:description>v2.03</dc:description>
  <cp:lastModifiedBy>Krista Nerland</cp:lastModifiedBy>
  <cp:revision>8</cp:revision>
  <cp:lastPrinted>2016-09-23T15:22:00Z</cp:lastPrinted>
  <dcterms:created xsi:type="dcterms:W3CDTF">2016-09-22T19:15:00Z</dcterms:created>
  <dcterms:modified xsi:type="dcterms:W3CDTF">2016-09-23T15:22:00Z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NO</vt:lpwstr>
  </property>
  <property fmtid="{D5CDD505-2E9C-101B-9397-08002B2CF9AE}" pid="3" name="DocsID">
    <vt:lpwstr/>
  </property>
  <property fmtid="{D5CDD505-2E9C-101B-9397-08002B2CF9AE}" pid="4" name="DocID">
    <vt:lpwstr>C:\Users\aweaver\AppData\Local\Microsoft\Windows\Temporary Internet Files\Content.IE5\6XSD2NQ3\Draft Factum - LEAF v3.docx</vt:lpwstr>
  </property>
</Properties>
</file>