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28" w:rsidRPr="008F04DE" w:rsidRDefault="002F4128" w:rsidP="002F4128">
      <w:pPr>
        <w:pStyle w:val="Heading1"/>
        <w:rPr>
          <w:rFonts w:ascii="Alegreya" w:hAnsi="Alegreya"/>
          <w:color w:val="auto"/>
        </w:rPr>
      </w:pPr>
      <w:r w:rsidRPr="008F04DE">
        <w:rPr>
          <w:rFonts w:ascii="Alegreya" w:hAnsi="Alegreya"/>
          <w:color w:val="auto"/>
        </w:rPr>
        <w:t>Women’s Legal Education and Action Fund (LEAF)</w:t>
      </w:r>
    </w:p>
    <w:p w:rsidR="002F4128" w:rsidRPr="008F04DE" w:rsidRDefault="002F4128" w:rsidP="002F4128">
      <w:pPr>
        <w:pStyle w:val="Heading1"/>
        <w:rPr>
          <w:rFonts w:ascii="Alegreya" w:hAnsi="Alegreya"/>
          <w:color w:val="auto"/>
        </w:rPr>
      </w:pPr>
      <w:r w:rsidRPr="008F04DE">
        <w:rPr>
          <w:rFonts w:ascii="Alegreya" w:hAnsi="Alegreya"/>
          <w:color w:val="auto"/>
        </w:rPr>
        <w:t>Fact Sheets</w:t>
      </w:r>
    </w:p>
    <w:p w:rsidR="002F4128" w:rsidRPr="00EC7959" w:rsidRDefault="002F4128" w:rsidP="002F4128">
      <w:pPr>
        <w:contextualSpacing w:val="0"/>
      </w:pPr>
      <w:r w:rsidRPr="00EC7959">
        <w:t xml:space="preserve">This publication was created as part of LEAF's Feminist Strategic Litigation (FSL) Project. The FSL Project examines the use and impact of feminist strategic litigation to help LEAF, feminists, and gender equality advocates more effectively combat systemic discrimination and oppression. </w:t>
      </w:r>
    </w:p>
    <w:p w:rsidR="002F4128" w:rsidRPr="00EC7959" w:rsidRDefault="002F4128" w:rsidP="002F4128">
      <w:pPr>
        <w:contextualSpacing w:val="0"/>
      </w:pPr>
      <w:r w:rsidRPr="00EC7959">
        <w:t>LEAF would like to thank the following individuals and groups:</w:t>
      </w:r>
    </w:p>
    <w:p w:rsidR="002F4128" w:rsidRPr="00EC7959" w:rsidRDefault="002F4128" w:rsidP="002F4128">
      <w:pPr>
        <w:pStyle w:val="ListParagraph"/>
        <w:numPr>
          <w:ilvl w:val="0"/>
          <w:numId w:val="7"/>
        </w:numPr>
      </w:pPr>
      <w:r w:rsidRPr="00EC7959">
        <w:t>All of those who have been involved in</w:t>
      </w:r>
      <w:r>
        <w:t xml:space="preserve"> LEAF's many years of advocacy </w:t>
      </w:r>
    </w:p>
    <w:p w:rsidR="002F4128" w:rsidRDefault="002F4128" w:rsidP="002F4128">
      <w:pPr>
        <w:pStyle w:val="ListParagraph"/>
        <w:numPr>
          <w:ilvl w:val="0"/>
          <w:numId w:val="7"/>
        </w:numPr>
      </w:pPr>
      <w:r w:rsidRPr="00EC7959">
        <w:t>Kat Owens, FSL Project Director</w:t>
      </w:r>
      <w:r>
        <w:t>, for research assistance</w:t>
      </w:r>
    </w:p>
    <w:p w:rsidR="002F4128" w:rsidRPr="00EC7959" w:rsidRDefault="002F4128" w:rsidP="002F4128">
      <w:pPr>
        <w:pStyle w:val="ListParagraph"/>
        <w:numPr>
          <w:ilvl w:val="0"/>
          <w:numId w:val="7"/>
        </w:numPr>
      </w:pPr>
      <w:r w:rsidRPr="00EC7959">
        <w:t xml:space="preserve">Nicole Biros-Bolton, Legal Researcher, </w:t>
      </w:r>
      <w:r>
        <w:t>for creating this publication</w:t>
      </w:r>
    </w:p>
    <w:p w:rsidR="002F4128" w:rsidRPr="00EC7959" w:rsidRDefault="002F4128" w:rsidP="002F4128">
      <w:pPr>
        <w:contextualSpacing w:val="0"/>
      </w:pPr>
      <w:r w:rsidRPr="00EC7959">
        <w:t>The FSL Project is funded by Women and Gender Equality Canada.</w:t>
      </w:r>
    </w:p>
    <w:p w:rsidR="002F4128" w:rsidRPr="00EC7959" w:rsidRDefault="002F4128" w:rsidP="002F4128">
      <w:pPr>
        <w:contextualSpacing w:val="0"/>
      </w:pPr>
      <w:r w:rsidRPr="00EC7959">
        <w:t>Copyright 2020 Women's Legal Education and Action Fund (LEAF)</w:t>
      </w:r>
    </w:p>
    <w:p w:rsidR="002F4128" w:rsidRPr="00EC7959" w:rsidRDefault="002F4128" w:rsidP="002F4128">
      <w:pPr>
        <w:contextualSpacing w:val="0"/>
      </w:pPr>
      <w:r w:rsidRPr="00EC7959">
        <w:t>All rights reserved</w:t>
      </w:r>
    </w:p>
    <w:p w:rsidR="002F4128" w:rsidRDefault="002F4128" w:rsidP="002F4128">
      <w:pPr>
        <w:rPr>
          <w:b/>
          <w:bCs/>
          <w:u w:val="single"/>
        </w:rPr>
      </w:pPr>
    </w:p>
    <w:p w:rsidR="002F4128" w:rsidRDefault="002F4128" w:rsidP="002F4128">
      <w:pPr>
        <w:rPr>
          <w:b/>
          <w:bCs/>
          <w:u w:val="single"/>
        </w:rPr>
      </w:pPr>
    </w:p>
    <w:p w:rsidR="002F4128" w:rsidRDefault="002F4128" w:rsidP="002F4128">
      <w:pPr>
        <w:rPr>
          <w:b/>
          <w:bCs/>
          <w:u w:val="single"/>
        </w:rPr>
      </w:pPr>
    </w:p>
    <w:p w:rsidR="002F4128" w:rsidRDefault="002F4128" w:rsidP="002F4128">
      <w:pPr>
        <w:rPr>
          <w:b/>
          <w:bCs/>
          <w:u w:val="single"/>
        </w:rPr>
      </w:pPr>
    </w:p>
    <w:p w:rsidR="002F4128" w:rsidRDefault="002F4128" w:rsidP="002F4128">
      <w:pPr>
        <w:rPr>
          <w:b/>
          <w:bCs/>
          <w:u w:val="single"/>
        </w:rPr>
      </w:pPr>
    </w:p>
    <w:p w:rsidR="002F4128" w:rsidRDefault="002F4128" w:rsidP="002F4128">
      <w:pPr>
        <w:rPr>
          <w:b/>
          <w:bCs/>
          <w:u w:val="single"/>
        </w:rPr>
      </w:pPr>
    </w:p>
    <w:p w:rsidR="002F4128" w:rsidRDefault="002F4128" w:rsidP="002F4128">
      <w:pPr>
        <w:rPr>
          <w:b/>
          <w:bCs/>
          <w:u w:val="single"/>
        </w:rPr>
      </w:pPr>
    </w:p>
    <w:p w:rsidR="002F4128" w:rsidRDefault="002F4128" w:rsidP="002F4128">
      <w:pPr>
        <w:rPr>
          <w:b/>
          <w:bCs/>
          <w:u w:val="single"/>
        </w:rPr>
      </w:pPr>
    </w:p>
    <w:p w:rsidR="002F4128" w:rsidRDefault="002F4128" w:rsidP="002F4128">
      <w:pPr>
        <w:rPr>
          <w:b/>
          <w:bCs/>
          <w:u w:val="single"/>
        </w:rPr>
      </w:pPr>
    </w:p>
    <w:p w:rsidR="002F4128" w:rsidRDefault="002F4128" w:rsidP="002F4128">
      <w:pPr>
        <w:rPr>
          <w:b/>
          <w:bCs/>
          <w:u w:val="single"/>
        </w:rPr>
      </w:pPr>
    </w:p>
    <w:p w:rsidR="002F4128" w:rsidRDefault="002F4128" w:rsidP="002F4128">
      <w:pPr>
        <w:rPr>
          <w:b/>
          <w:bCs/>
          <w:u w:val="single"/>
        </w:rPr>
      </w:pPr>
    </w:p>
    <w:p w:rsidR="002F4128" w:rsidRDefault="002F4128" w:rsidP="002F4128">
      <w:pPr>
        <w:rPr>
          <w:b/>
          <w:bCs/>
          <w:u w:val="single"/>
        </w:rPr>
      </w:pPr>
    </w:p>
    <w:p w:rsidR="002F4128" w:rsidRPr="003D2E58" w:rsidRDefault="002F4128" w:rsidP="002F4128">
      <w:r w:rsidRPr="003D2E58">
        <w:rPr>
          <w:b/>
          <w:bCs/>
          <w:u w:val="single"/>
        </w:rPr>
        <w:lastRenderedPageBreak/>
        <w:t>Fact Sheet – How Can Law Help Achieve Social Change?</w:t>
      </w:r>
      <w:r w:rsidRPr="003D2E58">
        <w:t> </w:t>
      </w:r>
    </w:p>
    <w:p w:rsidR="002F4128" w:rsidRPr="003D2E58" w:rsidRDefault="002F4128" w:rsidP="002F4128">
      <w:r w:rsidRPr="003D2E58">
        <w:t>Law alone cannot create social change, but it can be a useful tool in the struggle.  </w:t>
      </w:r>
    </w:p>
    <w:p w:rsidR="002F4128" w:rsidRDefault="002F4128" w:rsidP="002F4128">
      <w:r w:rsidRPr="003D2E58">
        <w:t>Different people have different ideas about how law c</w:t>
      </w:r>
      <w:r>
        <w:t xml:space="preserve">an help achieve social change. </w:t>
      </w:r>
    </w:p>
    <w:p w:rsidR="002F4128" w:rsidRPr="003D2E58" w:rsidRDefault="002F4128" w:rsidP="002F4128"/>
    <w:p w:rsidR="002F4128" w:rsidRPr="003D2E58" w:rsidRDefault="002F4128" w:rsidP="002F4128">
      <w:r w:rsidRPr="003D2E58">
        <w:t>Access to Justice </w:t>
      </w:r>
    </w:p>
    <w:p w:rsidR="002F4128" w:rsidRPr="003D2E58" w:rsidRDefault="002F4128" w:rsidP="002F4128">
      <w:pPr>
        <w:numPr>
          <w:ilvl w:val="0"/>
          <w:numId w:val="1"/>
        </w:numPr>
      </w:pPr>
      <w:r w:rsidRPr="003D2E58">
        <w:t>Better access to court and appropriate legal supports leads to justice for marginalized people </w:t>
      </w:r>
    </w:p>
    <w:p w:rsidR="002F4128" w:rsidRPr="003D2E58" w:rsidRDefault="002F4128" w:rsidP="002F4128">
      <w:pPr>
        <w:numPr>
          <w:ilvl w:val="0"/>
          <w:numId w:val="2"/>
        </w:numPr>
      </w:pPr>
      <w:r w:rsidRPr="003D2E58">
        <w:t>Examples: Legal Aid, lawyers providing services for free or at a reduced rate </w:t>
      </w:r>
    </w:p>
    <w:p w:rsidR="002F4128" w:rsidRPr="003D2E58" w:rsidRDefault="002F4128" w:rsidP="002F4128">
      <w:r w:rsidRPr="003D2E58">
        <w:t>Law Reform </w:t>
      </w:r>
    </w:p>
    <w:p w:rsidR="002F4128" w:rsidRPr="003D2E58" w:rsidRDefault="002F4128" w:rsidP="002F4128">
      <w:pPr>
        <w:numPr>
          <w:ilvl w:val="0"/>
          <w:numId w:val="3"/>
        </w:numPr>
      </w:pPr>
      <w:r w:rsidRPr="003D2E58">
        <w:t>Legal victories, in court and through policy reform, lead to social change  </w:t>
      </w:r>
    </w:p>
    <w:p w:rsidR="002F4128" w:rsidRPr="003D2E58" w:rsidRDefault="002F4128" w:rsidP="002F4128">
      <w:pPr>
        <w:numPr>
          <w:ilvl w:val="0"/>
          <w:numId w:val="3"/>
        </w:numPr>
      </w:pPr>
      <w:r w:rsidRPr="003D2E58">
        <w:t>Examples: test cases or constitutional challenges, interventions, lobbying efforts </w:t>
      </w:r>
    </w:p>
    <w:p w:rsidR="002F4128" w:rsidRPr="003D2E58" w:rsidRDefault="002F4128" w:rsidP="002F4128">
      <w:r w:rsidRPr="003D2E58">
        <w:t>Rule of Law </w:t>
      </w:r>
    </w:p>
    <w:p w:rsidR="002F4128" w:rsidRPr="003D2E58" w:rsidRDefault="002F4128" w:rsidP="002F4128">
      <w:pPr>
        <w:numPr>
          <w:ilvl w:val="0"/>
          <w:numId w:val="4"/>
        </w:numPr>
      </w:pPr>
      <w:r w:rsidRPr="003D2E58">
        <w:t>Strengthening laws and legal institutions, including the judicial system, leads to a more equal society </w:t>
      </w:r>
    </w:p>
    <w:p w:rsidR="002F4128" w:rsidRPr="003D2E58" w:rsidRDefault="002F4128" w:rsidP="002F4128">
      <w:pPr>
        <w:numPr>
          <w:ilvl w:val="0"/>
          <w:numId w:val="4"/>
        </w:numPr>
      </w:pPr>
      <w:r w:rsidRPr="003D2E58">
        <w:t>Examples: judicial reforms (e.g. changes to how judges are appointed, to training judges receive) </w:t>
      </w:r>
    </w:p>
    <w:p w:rsidR="002F4128" w:rsidRPr="003D2E58" w:rsidRDefault="002F4128" w:rsidP="002F4128">
      <w:r w:rsidRPr="003D2E58">
        <w:t>Democratizing Law </w:t>
      </w:r>
    </w:p>
    <w:p w:rsidR="002F4128" w:rsidRPr="003D2E58" w:rsidRDefault="002F4128" w:rsidP="002F4128">
      <w:pPr>
        <w:numPr>
          <w:ilvl w:val="0"/>
          <w:numId w:val="5"/>
        </w:numPr>
      </w:pPr>
      <w:r w:rsidRPr="003D2E58">
        <w:t>Improving legal literacy in the population as a whole allows people to understand and use law as a tool, enabling them to create social change </w:t>
      </w:r>
    </w:p>
    <w:p w:rsidR="002F4128" w:rsidRPr="003D2E58" w:rsidRDefault="002F4128" w:rsidP="002F4128">
      <w:pPr>
        <w:numPr>
          <w:ilvl w:val="0"/>
          <w:numId w:val="5"/>
        </w:numPr>
      </w:pPr>
      <w:r w:rsidRPr="003D2E58">
        <w:t>Examples: “Know Your Rights” education sessions </w:t>
      </w:r>
    </w:p>
    <w:p w:rsidR="002F4128" w:rsidRPr="003D2E58" w:rsidRDefault="002F4128" w:rsidP="002F4128">
      <w:r w:rsidRPr="003D2E58">
        <w:t>Movement Lawyering </w:t>
      </w:r>
    </w:p>
    <w:p w:rsidR="002F4128" w:rsidRPr="003D2E58" w:rsidRDefault="002F4128" w:rsidP="002F4128">
      <w:pPr>
        <w:numPr>
          <w:ilvl w:val="0"/>
          <w:numId w:val="6"/>
        </w:numPr>
      </w:pPr>
      <w:r w:rsidRPr="003D2E58">
        <w:t>Providing legal services and supports as directed by social movements, which take collective action and direct their own struggles, leads to social change </w:t>
      </w:r>
    </w:p>
    <w:p w:rsidR="002F4128" w:rsidRPr="003D2E58" w:rsidRDefault="002F4128" w:rsidP="002F4128">
      <w:pPr>
        <w:numPr>
          <w:ilvl w:val="0"/>
          <w:numId w:val="6"/>
        </w:numPr>
      </w:pPr>
      <w:r w:rsidRPr="003D2E58">
        <w:t>Examples: hosting legal education sessions for movement members, facilitating meetings for movement members with key stakeholders, filing court cases to support movement goals </w:t>
      </w:r>
    </w:p>
    <w:p w:rsidR="002F4128" w:rsidRPr="003D2E58" w:rsidRDefault="002F4128" w:rsidP="002F4128">
      <w:r w:rsidRPr="003D2E58">
        <w:t> </w:t>
      </w:r>
    </w:p>
    <w:p w:rsidR="002F4128" w:rsidRPr="003D2E58" w:rsidRDefault="002F4128" w:rsidP="002F4128">
      <w:r w:rsidRPr="003D2E58">
        <w:t>Resources consulted: </w:t>
      </w:r>
      <w:hyperlink r:id="rId5" w:history="1">
        <w:r w:rsidRPr="00AE6381">
          <w:rPr>
            <w:rStyle w:val="Hyperlink"/>
          </w:rPr>
          <w:t>https://www.leaf.ca/wp-content/uploads/2020/10/FSL-Fact-Sheet-Resources-Consulted.pdf</w:t>
        </w:r>
      </w:hyperlink>
      <w:r>
        <w:t xml:space="preserve"> </w:t>
      </w:r>
    </w:p>
    <w:p w:rsidR="002F4128" w:rsidRDefault="002F4128" w:rsidP="002F4128"/>
    <w:p w:rsidR="00BF048B" w:rsidRPr="00030DAD" w:rsidRDefault="00BF048B" w:rsidP="00BF048B">
      <w:r>
        <w:rPr>
          <w:b/>
          <w:bCs/>
          <w:u w:val="single"/>
        </w:rPr>
        <w:t>Comment la loi peut-elle contribuer au changement social ?</w:t>
      </w:r>
      <w:r>
        <w:t> </w:t>
      </w:r>
    </w:p>
    <w:p w:rsidR="00BF048B" w:rsidRPr="00030DAD" w:rsidRDefault="00BF048B" w:rsidP="00BF048B">
      <w:r>
        <w:t>La loi seule ne peut pas être à la source de l’évolution de la société, mais elle peut être un outil utile dans cette lutte.  </w:t>
      </w:r>
    </w:p>
    <w:p w:rsidR="00BF048B" w:rsidRPr="00030DAD" w:rsidRDefault="00BF048B" w:rsidP="00BF048B">
      <w:r>
        <w:t>Nous avons tous des idées différentes sur la possible contribution de la loi à l’évolution de la société. Certaines théories courantes incluent les aspects suivants : </w:t>
      </w:r>
    </w:p>
    <w:p w:rsidR="00BF048B" w:rsidRPr="00030DAD" w:rsidRDefault="00BF048B" w:rsidP="00BF048B">
      <w:r>
        <w:t>Comité d'accès à la justice </w:t>
      </w:r>
    </w:p>
    <w:p w:rsidR="00BF048B" w:rsidRPr="00030DAD" w:rsidRDefault="00BF048B" w:rsidP="00BF048B">
      <w:pPr>
        <w:numPr>
          <w:ilvl w:val="0"/>
          <w:numId w:val="1"/>
        </w:numPr>
        <w:spacing w:line="259" w:lineRule="auto"/>
        <w:contextualSpacing w:val="0"/>
      </w:pPr>
      <w:r>
        <w:t>Un meilleur accès aux tribunaux et des soutiens juridiques adéquats mènent à la justice pour les peuples marginalisés </w:t>
      </w:r>
    </w:p>
    <w:p w:rsidR="00BF048B" w:rsidRPr="00030DAD" w:rsidRDefault="00BF048B" w:rsidP="00BF048B">
      <w:pPr>
        <w:numPr>
          <w:ilvl w:val="0"/>
          <w:numId w:val="2"/>
        </w:numPr>
        <w:spacing w:line="259" w:lineRule="auto"/>
        <w:contextualSpacing w:val="0"/>
      </w:pPr>
      <w:r>
        <w:t>Exemples : Aide juridique, avocats gratuits ou à tarif réduit </w:t>
      </w:r>
    </w:p>
    <w:p w:rsidR="00BF048B" w:rsidRPr="00030DAD" w:rsidRDefault="00BF048B" w:rsidP="00BF048B">
      <w:r>
        <w:t>Réforme législative </w:t>
      </w:r>
    </w:p>
    <w:p w:rsidR="00BF048B" w:rsidRPr="00030DAD" w:rsidRDefault="00BF048B" w:rsidP="00BF048B">
      <w:pPr>
        <w:numPr>
          <w:ilvl w:val="0"/>
          <w:numId w:val="3"/>
        </w:numPr>
        <w:spacing w:line="259" w:lineRule="auto"/>
        <w:contextualSpacing w:val="0"/>
      </w:pPr>
      <w:r>
        <w:t>Les victoires judiciaires, devant les tribunaux et grâce à la réforme des politiques, mènent à l’évolution de la société  </w:t>
      </w:r>
    </w:p>
    <w:p w:rsidR="00BF048B" w:rsidRPr="00030DAD" w:rsidRDefault="00BF048B" w:rsidP="00BF048B">
      <w:pPr>
        <w:numPr>
          <w:ilvl w:val="0"/>
          <w:numId w:val="3"/>
        </w:numPr>
        <w:spacing w:line="259" w:lineRule="auto"/>
        <w:contextualSpacing w:val="0"/>
      </w:pPr>
      <w:r>
        <w:t>Exemples : affaires types ou procédures constitutionnelles, interventions, efforts de lobbying </w:t>
      </w:r>
    </w:p>
    <w:p w:rsidR="00BF048B" w:rsidRPr="00030DAD" w:rsidRDefault="00BF048B" w:rsidP="00BF048B">
      <w:r>
        <w:t>État de droit </w:t>
      </w:r>
    </w:p>
    <w:p w:rsidR="00BF048B" w:rsidRPr="00030DAD" w:rsidRDefault="00BF048B" w:rsidP="00BF048B">
      <w:pPr>
        <w:numPr>
          <w:ilvl w:val="0"/>
          <w:numId w:val="4"/>
        </w:numPr>
        <w:spacing w:line="259" w:lineRule="auto"/>
        <w:contextualSpacing w:val="0"/>
      </w:pPr>
      <w:r>
        <w:t>Le renforcement des lois et des institutions judiciaires, y compris le système juridique, conduit à une société plus égalitaire </w:t>
      </w:r>
    </w:p>
    <w:p w:rsidR="00BF048B" w:rsidRPr="00030DAD" w:rsidRDefault="00BF048B" w:rsidP="00BF048B">
      <w:pPr>
        <w:numPr>
          <w:ilvl w:val="0"/>
          <w:numId w:val="4"/>
        </w:numPr>
        <w:spacing w:line="259" w:lineRule="auto"/>
        <w:contextualSpacing w:val="0"/>
      </w:pPr>
      <w:r>
        <w:t>Exemples : réformes judiciaires (par exemple, modifications dans la nomination des juges et dans leur formation) </w:t>
      </w:r>
    </w:p>
    <w:p w:rsidR="00BF048B" w:rsidRPr="00030DAD" w:rsidRDefault="00BF048B" w:rsidP="00BF048B">
      <w:r>
        <w:t>Démocratiser la loi </w:t>
      </w:r>
    </w:p>
    <w:p w:rsidR="00BF048B" w:rsidRPr="00030DAD" w:rsidRDefault="00BF048B" w:rsidP="00BF048B">
      <w:pPr>
        <w:numPr>
          <w:ilvl w:val="0"/>
          <w:numId w:val="5"/>
        </w:numPr>
        <w:spacing w:line="259" w:lineRule="auto"/>
        <w:contextualSpacing w:val="0"/>
      </w:pPr>
      <w:r>
        <w:t>L'amélioration des connaissances juridiques de la population dans son ensemble permet aux gens de comprendre et d'utiliser la loi comme outil, ce qui leur permet de générer l’évolution de la société </w:t>
      </w:r>
    </w:p>
    <w:p w:rsidR="00BF048B" w:rsidRPr="00030DAD" w:rsidRDefault="00BF048B" w:rsidP="00BF048B">
      <w:pPr>
        <w:numPr>
          <w:ilvl w:val="0"/>
          <w:numId w:val="5"/>
        </w:numPr>
        <w:spacing w:line="259" w:lineRule="auto"/>
        <w:contextualSpacing w:val="0"/>
      </w:pPr>
      <w:r>
        <w:t>Exemples : Séances de formation « Connaissez vos droits » </w:t>
      </w:r>
    </w:p>
    <w:p w:rsidR="00BF048B" w:rsidRPr="00030DAD" w:rsidRDefault="00BF048B" w:rsidP="00BF048B">
      <w:r>
        <w:t>Le droit à la libre circulation </w:t>
      </w:r>
    </w:p>
    <w:p w:rsidR="00BF048B" w:rsidRPr="00030DAD" w:rsidRDefault="00BF048B" w:rsidP="00BF048B">
      <w:pPr>
        <w:numPr>
          <w:ilvl w:val="0"/>
          <w:numId w:val="6"/>
        </w:numPr>
        <w:spacing w:line="259" w:lineRule="auto"/>
        <w:contextualSpacing w:val="0"/>
      </w:pPr>
      <w:r>
        <w:t>Fournir des services juridiques et des soutiens selon les directives des mouvements sociaux, qui entreprennent une action collective et dirigent leurs propres luttes, conduit à l’évolution de la société </w:t>
      </w:r>
    </w:p>
    <w:p w:rsidR="00BF048B" w:rsidRDefault="00BF048B" w:rsidP="00BF048B">
      <w:pPr>
        <w:numPr>
          <w:ilvl w:val="0"/>
          <w:numId w:val="6"/>
        </w:numPr>
        <w:spacing w:line="259" w:lineRule="auto"/>
        <w:contextualSpacing w:val="0"/>
      </w:pPr>
      <w:r>
        <w:t>Exemples : organisation de séances de formation juridique et animation de réunions pour les membres du mouvement, en compagnie des principales parties prenantes, dépôt de plaintes visant à soutenir les objectifs du mouvement </w:t>
      </w:r>
    </w:p>
    <w:p w:rsidR="00BF048B" w:rsidRPr="003D2E58" w:rsidRDefault="00BF048B" w:rsidP="002F4128"/>
    <w:p w:rsidR="002F4128" w:rsidRPr="003D2E58" w:rsidRDefault="00BF048B" w:rsidP="00BF048B">
      <w:r>
        <w:t xml:space="preserve">Sources: </w:t>
      </w:r>
      <w:hyperlink r:id="rId6" w:history="1">
        <w:r w:rsidRPr="00AE6381">
          <w:rPr>
            <w:rStyle w:val="Hyperlink"/>
          </w:rPr>
          <w:t>https://www.leaf.ca/wp-content/uploads/2020/10/FSL-Fact-Sheet-Resources-Consulted.pdf</w:t>
        </w:r>
      </w:hyperlink>
    </w:p>
    <w:p w:rsidR="002F4128" w:rsidRPr="003D2E58" w:rsidRDefault="002F4128" w:rsidP="002F4128"/>
    <w:p w:rsidR="002F4128" w:rsidRPr="00650914" w:rsidRDefault="002F4128" w:rsidP="002F4128"/>
    <w:p w:rsidR="002F4128" w:rsidRDefault="002F4128" w:rsidP="002F4128"/>
    <w:p w:rsidR="002F4128" w:rsidRDefault="002F4128" w:rsidP="002F4128"/>
    <w:p w:rsidR="00261678" w:rsidRDefault="00261678">
      <w:bookmarkStart w:id="0" w:name="_GoBack"/>
      <w:bookmarkEnd w:id="0"/>
    </w:p>
    <w:sectPr w:rsidR="00261678">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legreya">
    <w:altName w:val="Calibri"/>
    <w:panose1 w:val="02000503050000020004"/>
    <w:charset w:val="00"/>
    <w:family w:val="modern"/>
    <w:notTrueType/>
    <w:pitch w:val="variable"/>
    <w:sig w:usb0="A00000EF" w:usb1="4000204B" w:usb2="00000000" w:usb3="00000000" w:csb0="00000093"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747220910"/>
      <w:docPartObj>
        <w:docPartGallery w:val="Page Numbers (Top of Page)"/>
        <w:docPartUnique/>
      </w:docPartObj>
    </w:sdtPr>
    <w:sdtEndPr>
      <w:rPr>
        <w:b/>
        <w:bCs/>
        <w:noProof/>
        <w:color w:val="auto"/>
        <w:spacing w:val="0"/>
      </w:rPr>
    </w:sdtEndPr>
    <w:sdtContent>
      <w:p w:rsidR="00650914" w:rsidRDefault="00BF048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BF048B">
          <w:rPr>
            <w:b/>
            <w:bCs/>
            <w:noProof/>
          </w:rPr>
          <w:t>1</w:t>
        </w:r>
        <w:r>
          <w:rPr>
            <w:b/>
            <w:bCs/>
            <w:noProof/>
          </w:rPr>
          <w:fldChar w:fldCharType="end"/>
        </w:r>
      </w:p>
    </w:sdtContent>
  </w:sdt>
  <w:p w:rsidR="00650914" w:rsidRDefault="00BF048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F1887"/>
    <w:multiLevelType w:val="multilevel"/>
    <w:tmpl w:val="401C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6704EB"/>
    <w:multiLevelType w:val="multilevel"/>
    <w:tmpl w:val="B234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B4459D"/>
    <w:multiLevelType w:val="multilevel"/>
    <w:tmpl w:val="CEFE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571CFD"/>
    <w:multiLevelType w:val="multilevel"/>
    <w:tmpl w:val="97F0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BB5E94"/>
    <w:multiLevelType w:val="multilevel"/>
    <w:tmpl w:val="4326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165946"/>
    <w:multiLevelType w:val="multilevel"/>
    <w:tmpl w:val="50B2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B041F3"/>
    <w:multiLevelType w:val="multilevel"/>
    <w:tmpl w:val="715E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5"/>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28"/>
    <w:rsid w:val="001E68A3"/>
    <w:rsid w:val="00261678"/>
    <w:rsid w:val="002F4128"/>
    <w:rsid w:val="00A748DE"/>
    <w:rsid w:val="00BF04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213E5"/>
  <w15:chartTrackingRefBased/>
  <w15:docId w15:val="{6CE420C3-6AE4-4567-AF28-919C159B8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48B"/>
    <w:pPr>
      <w:spacing w:line="360" w:lineRule="auto"/>
      <w:contextualSpacing/>
    </w:pPr>
    <w:rPr>
      <w:rFonts w:ascii="Source Sans Pro" w:hAnsi="Source Sans Pro"/>
      <w:sz w:val="24"/>
      <w:szCs w:val="24"/>
    </w:rPr>
  </w:style>
  <w:style w:type="paragraph" w:styleId="Heading1">
    <w:name w:val="heading 1"/>
    <w:basedOn w:val="Normal"/>
    <w:next w:val="Normal"/>
    <w:link w:val="Heading1Char"/>
    <w:uiPriority w:val="9"/>
    <w:qFormat/>
    <w:rsid w:val="00261678"/>
    <w:pPr>
      <w:keepNext/>
      <w:keepLines/>
      <w:spacing w:before="240" w:after="0"/>
      <w:outlineLvl w:val="0"/>
    </w:pPr>
    <w:rPr>
      <w:rFonts w:asciiTheme="majorHAnsi" w:eastAsiaTheme="majorEastAsia" w:hAnsiTheme="majorHAnsi" w:cstheme="majorBidi"/>
      <w:color w:val="001747" w:themeColor="accent1" w:themeShade="BF"/>
      <w:sz w:val="32"/>
      <w:szCs w:val="32"/>
    </w:rPr>
  </w:style>
  <w:style w:type="paragraph" w:styleId="Heading2">
    <w:name w:val="heading 2"/>
    <w:basedOn w:val="Normal"/>
    <w:next w:val="Normal"/>
    <w:link w:val="Heading2Char"/>
    <w:uiPriority w:val="9"/>
    <w:unhideWhenUsed/>
    <w:qFormat/>
    <w:rsid w:val="00261678"/>
    <w:pPr>
      <w:keepNext/>
      <w:keepLines/>
      <w:spacing w:before="40" w:after="0"/>
      <w:outlineLvl w:val="1"/>
    </w:pPr>
    <w:rPr>
      <w:rFonts w:asciiTheme="majorHAnsi" w:eastAsiaTheme="majorEastAsia" w:hAnsiTheme="majorHAnsi" w:cstheme="majorBidi"/>
      <w:color w:val="001747" w:themeColor="accent1" w:themeShade="BF"/>
      <w:sz w:val="26"/>
      <w:szCs w:val="26"/>
    </w:rPr>
  </w:style>
  <w:style w:type="paragraph" w:styleId="Heading3">
    <w:name w:val="heading 3"/>
    <w:basedOn w:val="Normal"/>
    <w:next w:val="Normal"/>
    <w:link w:val="Heading3Char"/>
    <w:uiPriority w:val="9"/>
    <w:unhideWhenUsed/>
    <w:qFormat/>
    <w:rsid w:val="00261678"/>
    <w:pPr>
      <w:keepNext/>
      <w:keepLines/>
      <w:spacing w:before="40" w:after="0"/>
      <w:outlineLvl w:val="2"/>
    </w:pPr>
    <w:rPr>
      <w:rFonts w:asciiTheme="majorHAnsi" w:eastAsiaTheme="majorEastAsia" w:hAnsiTheme="majorHAnsi" w:cstheme="majorBidi"/>
      <w:color w:val="000F2F" w:themeColor="accent1" w:themeShade="7F"/>
    </w:rPr>
  </w:style>
  <w:style w:type="paragraph" w:styleId="Heading4">
    <w:name w:val="heading 4"/>
    <w:basedOn w:val="Normal"/>
    <w:next w:val="Normal"/>
    <w:link w:val="Heading4Char"/>
    <w:uiPriority w:val="9"/>
    <w:unhideWhenUsed/>
    <w:qFormat/>
    <w:rsid w:val="00261678"/>
    <w:pPr>
      <w:keepNext/>
      <w:keepLines/>
      <w:spacing w:before="40" w:after="0"/>
      <w:outlineLvl w:val="3"/>
    </w:pPr>
    <w:rPr>
      <w:rFonts w:asciiTheme="majorHAnsi" w:eastAsiaTheme="majorEastAsia" w:hAnsiTheme="majorHAnsi" w:cstheme="majorBidi"/>
      <w:i/>
      <w:iCs/>
      <w:color w:val="00174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678"/>
    <w:rPr>
      <w:rFonts w:asciiTheme="majorHAnsi" w:eastAsiaTheme="majorEastAsia" w:hAnsiTheme="majorHAnsi" w:cstheme="majorBidi"/>
      <w:color w:val="001747" w:themeColor="accent1" w:themeShade="BF"/>
      <w:sz w:val="32"/>
      <w:szCs w:val="32"/>
    </w:rPr>
  </w:style>
  <w:style w:type="character" w:customStyle="1" w:styleId="Heading2Char">
    <w:name w:val="Heading 2 Char"/>
    <w:basedOn w:val="DefaultParagraphFont"/>
    <w:link w:val="Heading2"/>
    <w:uiPriority w:val="9"/>
    <w:rsid w:val="00261678"/>
    <w:rPr>
      <w:rFonts w:asciiTheme="majorHAnsi" w:eastAsiaTheme="majorEastAsia" w:hAnsiTheme="majorHAnsi" w:cstheme="majorBidi"/>
      <w:color w:val="001747" w:themeColor="accent1" w:themeShade="BF"/>
      <w:sz w:val="26"/>
      <w:szCs w:val="26"/>
    </w:rPr>
  </w:style>
  <w:style w:type="character" w:customStyle="1" w:styleId="Heading3Char">
    <w:name w:val="Heading 3 Char"/>
    <w:basedOn w:val="DefaultParagraphFont"/>
    <w:link w:val="Heading3"/>
    <w:uiPriority w:val="9"/>
    <w:rsid w:val="00261678"/>
    <w:rPr>
      <w:rFonts w:asciiTheme="majorHAnsi" w:eastAsiaTheme="majorEastAsia" w:hAnsiTheme="majorHAnsi" w:cstheme="majorBidi"/>
      <w:color w:val="000F2F" w:themeColor="accent1" w:themeShade="7F"/>
      <w:sz w:val="24"/>
      <w:szCs w:val="24"/>
    </w:rPr>
  </w:style>
  <w:style w:type="character" w:customStyle="1" w:styleId="Heading4Char">
    <w:name w:val="Heading 4 Char"/>
    <w:basedOn w:val="DefaultParagraphFont"/>
    <w:link w:val="Heading4"/>
    <w:uiPriority w:val="9"/>
    <w:rsid w:val="00261678"/>
    <w:rPr>
      <w:rFonts w:asciiTheme="majorHAnsi" w:eastAsiaTheme="majorEastAsia" w:hAnsiTheme="majorHAnsi" w:cstheme="majorBidi"/>
      <w:i/>
      <w:iCs/>
      <w:color w:val="001747" w:themeColor="accent1" w:themeShade="BF"/>
    </w:rPr>
  </w:style>
  <w:style w:type="paragraph" w:styleId="Subtitle">
    <w:name w:val="Subtitle"/>
    <w:basedOn w:val="Normal"/>
    <w:next w:val="Normal"/>
    <w:link w:val="SubtitleChar"/>
    <w:uiPriority w:val="11"/>
    <w:qFormat/>
    <w:rsid w:val="0026167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61678"/>
    <w:rPr>
      <w:rFonts w:eastAsiaTheme="minorEastAsia"/>
      <w:color w:val="5A5A5A" w:themeColor="text1" w:themeTint="A5"/>
      <w:spacing w:val="15"/>
    </w:rPr>
  </w:style>
  <w:style w:type="paragraph" w:styleId="NoSpacing">
    <w:name w:val="No Spacing"/>
    <w:link w:val="NoSpacingChar"/>
    <w:uiPriority w:val="1"/>
    <w:qFormat/>
    <w:rsid w:val="00261678"/>
    <w:pPr>
      <w:spacing w:after="0" w:line="240" w:lineRule="auto"/>
    </w:pPr>
  </w:style>
  <w:style w:type="character" w:customStyle="1" w:styleId="NoSpacingChar">
    <w:name w:val="No Spacing Char"/>
    <w:basedOn w:val="DefaultParagraphFont"/>
    <w:link w:val="NoSpacing"/>
    <w:uiPriority w:val="1"/>
    <w:rsid w:val="00261678"/>
  </w:style>
  <w:style w:type="paragraph" w:styleId="ListParagraph">
    <w:name w:val="List Paragraph"/>
    <w:basedOn w:val="Normal"/>
    <w:uiPriority w:val="34"/>
    <w:qFormat/>
    <w:rsid w:val="00261678"/>
    <w:pPr>
      <w:ind w:left="720"/>
    </w:pPr>
  </w:style>
  <w:style w:type="character" w:styleId="SubtleEmphasis">
    <w:name w:val="Subtle Emphasis"/>
    <w:basedOn w:val="DefaultParagraphFont"/>
    <w:uiPriority w:val="19"/>
    <w:qFormat/>
    <w:rsid w:val="00261678"/>
    <w:rPr>
      <w:i/>
      <w:iCs/>
      <w:color w:val="404040" w:themeColor="text1" w:themeTint="BF"/>
    </w:rPr>
  </w:style>
  <w:style w:type="paragraph" w:styleId="TOCHeading">
    <w:name w:val="TOC Heading"/>
    <w:basedOn w:val="Heading1"/>
    <w:next w:val="Normal"/>
    <w:uiPriority w:val="39"/>
    <w:unhideWhenUsed/>
    <w:qFormat/>
    <w:rsid w:val="00261678"/>
    <w:pPr>
      <w:outlineLvl w:val="9"/>
    </w:pPr>
  </w:style>
  <w:style w:type="paragraph" w:styleId="Header">
    <w:name w:val="header"/>
    <w:basedOn w:val="Normal"/>
    <w:link w:val="HeaderChar"/>
    <w:uiPriority w:val="99"/>
    <w:unhideWhenUsed/>
    <w:rsid w:val="002F4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128"/>
    <w:rPr>
      <w:rFonts w:ascii="Source Sans Pro" w:hAnsi="Source Sans Pro"/>
      <w:sz w:val="24"/>
      <w:szCs w:val="24"/>
    </w:rPr>
  </w:style>
  <w:style w:type="character" w:styleId="Hyperlink">
    <w:name w:val="Hyperlink"/>
    <w:basedOn w:val="DefaultParagraphFont"/>
    <w:uiPriority w:val="99"/>
    <w:unhideWhenUsed/>
    <w:rsid w:val="002F41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af.ca/wp-content/uploads/2020/10/FSL-Fact-Sheet-Resources-Consulted.pdf" TargetMode="External"/><Relationship Id="rId5" Type="http://schemas.openxmlformats.org/officeDocument/2006/relationships/hyperlink" Target="https://www.leaf.ca/wp-content/uploads/2020/10/FSL-Fact-Sheet-Resources-Consulted.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002060"/>
      </a:accent1>
      <a:accent2>
        <a:srgbClr val="C00000"/>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651</Words>
  <Characters>3711</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Women’s Legal Education and Action Fund (LEAF)</vt:lpstr>
      <vt:lpstr>Fact Sheets</vt:lpstr>
    </vt:vector>
  </TitlesOfParts>
  <Company>HP Inc.</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Biros-Bolton</dc:creator>
  <cp:keywords/>
  <dc:description/>
  <cp:lastModifiedBy>Nicole Biros-Bolton</cp:lastModifiedBy>
  <cp:revision>2</cp:revision>
  <dcterms:created xsi:type="dcterms:W3CDTF">2020-10-20T20:21:00Z</dcterms:created>
  <dcterms:modified xsi:type="dcterms:W3CDTF">2020-10-20T20:51:00Z</dcterms:modified>
</cp:coreProperties>
</file>