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47" w:rsidRPr="008F04DE" w:rsidRDefault="00BD3C47" w:rsidP="00BD3C47">
      <w:pPr>
        <w:pStyle w:val="Heading1"/>
        <w:rPr>
          <w:rFonts w:ascii="Alegreya" w:hAnsi="Alegreya"/>
          <w:color w:val="auto"/>
        </w:rPr>
      </w:pPr>
      <w:r w:rsidRPr="008F04DE">
        <w:rPr>
          <w:rFonts w:ascii="Alegreya" w:hAnsi="Alegreya"/>
          <w:color w:val="auto"/>
        </w:rPr>
        <w:t>Women’s Legal Education and Action Fund (LEAF)</w:t>
      </w:r>
    </w:p>
    <w:p w:rsidR="00BD3C47" w:rsidRPr="008F04DE" w:rsidRDefault="00BD3C47" w:rsidP="00BD3C47">
      <w:pPr>
        <w:pStyle w:val="Heading1"/>
        <w:rPr>
          <w:rFonts w:ascii="Alegreya" w:hAnsi="Alegreya"/>
          <w:color w:val="auto"/>
        </w:rPr>
      </w:pPr>
      <w:r w:rsidRPr="008F04DE">
        <w:rPr>
          <w:rFonts w:ascii="Alegreya" w:hAnsi="Alegreya"/>
          <w:color w:val="auto"/>
        </w:rPr>
        <w:t>Fact Sheets</w:t>
      </w:r>
    </w:p>
    <w:p w:rsidR="00BD3C47" w:rsidRPr="00EC7959" w:rsidRDefault="00BD3C47" w:rsidP="00BD3C47">
      <w:pPr>
        <w:contextualSpacing w:val="0"/>
      </w:pPr>
      <w:r w:rsidRPr="00EC7959">
        <w:t xml:space="preserve">This publication was created as part of LEAF's Feminist Strategic Litigation (FSL) Project. The FSL Project examines the use and impact of feminist strategic litigation to help LEAF, feminists, and gender equality advocates more effectively combat systemic discrimination and oppression. </w:t>
      </w:r>
    </w:p>
    <w:p w:rsidR="00BD3C47" w:rsidRPr="00EC7959" w:rsidRDefault="00BD3C47" w:rsidP="00BD3C47">
      <w:pPr>
        <w:contextualSpacing w:val="0"/>
      </w:pPr>
      <w:r w:rsidRPr="00EC7959">
        <w:t>LEAF would like to thank the following individuals and groups:</w:t>
      </w:r>
    </w:p>
    <w:p w:rsidR="00BD3C47" w:rsidRPr="00EC7959" w:rsidRDefault="00BD3C47" w:rsidP="00BD3C47">
      <w:pPr>
        <w:pStyle w:val="ListParagraph"/>
        <w:numPr>
          <w:ilvl w:val="0"/>
          <w:numId w:val="12"/>
        </w:numPr>
      </w:pPr>
      <w:r w:rsidRPr="00EC7959">
        <w:t>All of those who have been involved in</w:t>
      </w:r>
      <w:r>
        <w:t xml:space="preserve"> LEAF's many years of advocacy </w:t>
      </w:r>
    </w:p>
    <w:p w:rsidR="00BD3C47" w:rsidRDefault="00BD3C47" w:rsidP="00BD3C47">
      <w:pPr>
        <w:pStyle w:val="ListParagraph"/>
        <w:numPr>
          <w:ilvl w:val="0"/>
          <w:numId w:val="12"/>
        </w:numPr>
      </w:pPr>
      <w:r w:rsidRPr="00EC7959">
        <w:t>Kat Owens, FSL Project Director</w:t>
      </w:r>
      <w:r>
        <w:t>, for research assistance</w:t>
      </w:r>
    </w:p>
    <w:p w:rsidR="00BD3C47" w:rsidRPr="00EC7959" w:rsidRDefault="00BD3C47" w:rsidP="00BD3C47">
      <w:pPr>
        <w:pStyle w:val="ListParagraph"/>
        <w:numPr>
          <w:ilvl w:val="0"/>
          <w:numId w:val="12"/>
        </w:numPr>
      </w:pPr>
      <w:r w:rsidRPr="00EC7959">
        <w:t xml:space="preserve">Nicole Biros-Bolton, Legal Researcher, </w:t>
      </w:r>
      <w:r>
        <w:t>for creating this publication</w:t>
      </w:r>
    </w:p>
    <w:p w:rsidR="00BD3C47" w:rsidRPr="00EC7959" w:rsidRDefault="00BD3C47" w:rsidP="00BD3C47">
      <w:pPr>
        <w:contextualSpacing w:val="0"/>
      </w:pPr>
      <w:r w:rsidRPr="00EC7959">
        <w:t>The FSL Project is funded by Women and Gender Equality Canada.</w:t>
      </w:r>
    </w:p>
    <w:p w:rsidR="00BD3C47" w:rsidRPr="00EC7959" w:rsidRDefault="00BD3C47" w:rsidP="00BD3C47">
      <w:pPr>
        <w:contextualSpacing w:val="0"/>
      </w:pPr>
      <w:r w:rsidRPr="00EC7959">
        <w:t>Copyright 2020 Women's Legal Education and Action Fund (LEAF)</w:t>
      </w:r>
    </w:p>
    <w:p w:rsidR="00BD3C47" w:rsidRPr="00EC7959" w:rsidRDefault="00BD3C47" w:rsidP="00BD3C47">
      <w:pPr>
        <w:contextualSpacing w:val="0"/>
      </w:pPr>
      <w:r w:rsidRPr="00EC7959">
        <w:t>All rights reserved</w:t>
      </w:r>
    </w:p>
    <w:p w:rsidR="00BD3C47" w:rsidRDefault="00BD3C47" w:rsidP="00BD3C47">
      <w:pPr>
        <w:rPr>
          <w:b/>
          <w:bCs/>
          <w:u w:val="single"/>
        </w:rPr>
      </w:pPr>
    </w:p>
    <w:p w:rsidR="00BD3C47" w:rsidRDefault="00BD3C47" w:rsidP="00BD3C47">
      <w:pPr>
        <w:rPr>
          <w:b/>
          <w:bCs/>
          <w:u w:val="single"/>
        </w:rPr>
      </w:pPr>
    </w:p>
    <w:p w:rsidR="00BD3C47" w:rsidRDefault="00BD3C47" w:rsidP="00BD3C47">
      <w:pPr>
        <w:rPr>
          <w:b/>
          <w:bCs/>
          <w:u w:val="single"/>
        </w:rPr>
      </w:pPr>
    </w:p>
    <w:p w:rsidR="00BD3C47" w:rsidRDefault="00BD3C47" w:rsidP="00BD3C47">
      <w:pPr>
        <w:rPr>
          <w:b/>
          <w:bCs/>
          <w:u w:val="single"/>
        </w:rPr>
      </w:pPr>
    </w:p>
    <w:p w:rsidR="00BD3C47" w:rsidRDefault="00BD3C47" w:rsidP="00BD3C47">
      <w:pPr>
        <w:rPr>
          <w:b/>
          <w:bCs/>
          <w:u w:val="single"/>
        </w:rPr>
      </w:pPr>
    </w:p>
    <w:p w:rsidR="00BD3C47" w:rsidRDefault="00BD3C47" w:rsidP="00BD3C47">
      <w:pPr>
        <w:rPr>
          <w:b/>
          <w:bCs/>
          <w:u w:val="single"/>
        </w:rPr>
      </w:pPr>
    </w:p>
    <w:p w:rsidR="00BD3C47" w:rsidRDefault="00BD3C47" w:rsidP="00BD3C47">
      <w:pPr>
        <w:rPr>
          <w:b/>
          <w:bCs/>
          <w:u w:val="single"/>
        </w:rPr>
      </w:pPr>
    </w:p>
    <w:p w:rsidR="00BD3C47" w:rsidRDefault="00BD3C47" w:rsidP="00BD3C47">
      <w:pPr>
        <w:rPr>
          <w:b/>
          <w:bCs/>
          <w:u w:val="single"/>
        </w:rPr>
      </w:pPr>
    </w:p>
    <w:p w:rsidR="00BD3C47" w:rsidRDefault="00BD3C47" w:rsidP="00BD3C47">
      <w:pPr>
        <w:rPr>
          <w:b/>
          <w:bCs/>
          <w:u w:val="single"/>
        </w:rPr>
      </w:pPr>
    </w:p>
    <w:p w:rsidR="00BD3C47" w:rsidRDefault="00BD3C47" w:rsidP="00BD3C47">
      <w:pPr>
        <w:rPr>
          <w:b/>
          <w:bCs/>
          <w:u w:val="single"/>
        </w:rPr>
      </w:pPr>
    </w:p>
    <w:p w:rsidR="00BD3C47" w:rsidRDefault="00BD3C47" w:rsidP="00BD3C47">
      <w:pPr>
        <w:rPr>
          <w:b/>
          <w:bCs/>
          <w:u w:val="single"/>
        </w:rPr>
      </w:pPr>
    </w:p>
    <w:p w:rsidR="00BD3C47" w:rsidRDefault="00BD3C47" w:rsidP="00BD3C47">
      <w:pPr>
        <w:rPr>
          <w:b/>
          <w:bCs/>
          <w:u w:val="single"/>
        </w:rPr>
      </w:pPr>
    </w:p>
    <w:p w:rsidR="00BD3C47" w:rsidRPr="003D2E58" w:rsidRDefault="00BD3C47" w:rsidP="00BD3C47">
      <w:r w:rsidRPr="003D2E58">
        <w:rPr>
          <w:b/>
          <w:bCs/>
          <w:u w:val="single"/>
        </w:rPr>
        <w:lastRenderedPageBreak/>
        <w:t>Fact Sheet: Why Use the Law as Feminists?</w:t>
      </w:r>
      <w:r w:rsidRPr="003D2E58">
        <w:t> </w:t>
      </w:r>
    </w:p>
    <w:p w:rsidR="00BD3C47" w:rsidRPr="003D2E58" w:rsidRDefault="00BD3C47" w:rsidP="00BD3C47">
      <w:r w:rsidRPr="003D2E58">
        <w:t>When we talk about “the law” here, we mean the use of legal mechanisms and frameworks. In the Canadian context, these include the court system, the legislative process, the tribunal system, public inquiries or inquests, truth and reconciliation commissions, and international treaty bodies and courts. While those using the law can base their arguments in different legal traditions – including Indigenous law, common law, civil law, and international law – the legal mechanisms themselves largely embody and reflect colonial, primarily Western or Anglo-European, understandings of law. </w:t>
      </w:r>
    </w:p>
    <w:p w:rsidR="00BD3C47" w:rsidRPr="003D2E58" w:rsidRDefault="00BD3C47" w:rsidP="00BD3C47">
      <w:r w:rsidRPr="003D2E58">
        <w:t>Concerns about using the law </w:t>
      </w:r>
    </w:p>
    <w:p w:rsidR="00BD3C47" w:rsidRPr="003D2E58" w:rsidRDefault="00BD3C47" w:rsidP="00BD3C47">
      <w:pPr>
        <w:numPr>
          <w:ilvl w:val="0"/>
          <w:numId w:val="1"/>
        </w:numPr>
      </w:pPr>
      <w:r w:rsidRPr="003D2E58">
        <w:t>Law can be oppressive: it carries and reproduces sexism, racism, colonialism, heterosexism, ableism, Anglo-dominance, transphobia, and other oppressive structures </w:t>
      </w:r>
    </w:p>
    <w:p w:rsidR="00BD3C47" w:rsidRPr="003D2E58" w:rsidRDefault="00BD3C47" w:rsidP="00BD3C47">
      <w:pPr>
        <w:numPr>
          <w:ilvl w:val="0"/>
          <w:numId w:val="1"/>
        </w:numPr>
      </w:pPr>
      <w:r w:rsidRPr="003D2E58">
        <w:t>Using law risks gender essentialism: those using the law have sometimes relied on an “essential woman’s experience”, focusing on sex and ignoring race, class, gender identity, sexual orientation, (dis)ability, and other realities </w:t>
      </w:r>
    </w:p>
    <w:p w:rsidR="00BD3C47" w:rsidRPr="003D2E58" w:rsidRDefault="00BD3C47" w:rsidP="00BD3C47">
      <w:pPr>
        <w:numPr>
          <w:ilvl w:val="0"/>
          <w:numId w:val="2"/>
        </w:numPr>
      </w:pPr>
      <w:r w:rsidRPr="003D2E58">
        <w:t>Law can weaken social movements, taking resources and energy away from other strategies </w:t>
      </w:r>
    </w:p>
    <w:p w:rsidR="00BD3C47" w:rsidRPr="003D2E58" w:rsidRDefault="00BD3C47" w:rsidP="00BD3C47">
      <w:pPr>
        <w:numPr>
          <w:ilvl w:val="0"/>
          <w:numId w:val="2"/>
        </w:numPr>
      </w:pPr>
      <w:r w:rsidRPr="003D2E58">
        <w:t>Law may provide only narrow change, or symbolic wins with no benefits for people’s daily lives </w:t>
      </w:r>
    </w:p>
    <w:p w:rsidR="00BD3C47" w:rsidRPr="003D2E58" w:rsidRDefault="00BD3C47" w:rsidP="00BD3C47">
      <w:pPr>
        <w:numPr>
          <w:ilvl w:val="0"/>
          <w:numId w:val="2"/>
        </w:numPr>
      </w:pPr>
      <w:r w:rsidRPr="003D2E58">
        <w:t>Using law can prioritize the needs and wants of those with privilege – typically white, middle class, heterosexual, able-bodied, cisgender, English-speaking women </w:t>
      </w:r>
    </w:p>
    <w:p w:rsidR="00BD3C47" w:rsidRPr="003D2E58" w:rsidRDefault="00BD3C47" w:rsidP="00BD3C47">
      <w:r w:rsidRPr="003D2E58">
        <w:t>Arguments for using the law </w:t>
      </w:r>
    </w:p>
    <w:p w:rsidR="00BD3C47" w:rsidRPr="003D2E58" w:rsidRDefault="00BD3C47" w:rsidP="00BD3C47">
      <w:pPr>
        <w:numPr>
          <w:ilvl w:val="0"/>
          <w:numId w:val="3"/>
        </w:numPr>
      </w:pPr>
      <w:r w:rsidRPr="003D2E58">
        <w:t>Law exists and has impacts on people’s lives, and feminists can use law to shape those impacts </w:t>
      </w:r>
    </w:p>
    <w:p w:rsidR="00BD3C47" w:rsidRPr="003D2E58" w:rsidRDefault="00BD3C47" w:rsidP="00BD3C47">
      <w:pPr>
        <w:numPr>
          <w:ilvl w:val="0"/>
          <w:numId w:val="4"/>
        </w:numPr>
      </w:pPr>
      <w:r w:rsidRPr="003D2E58">
        <w:t>Law is not perfect, and feminists can use those imperfections to change the legal system for the better </w:t>
      </w:r>
    </w:p>
    <w:p w:rsidR="00BD3C47" w:rsidRPr="003D2E58" w:rsidRDefault="00BD3C47" w:rsidP="00BD3C47">
      <w:pPr>
        <w:numPr>
          <w:ilvl w:val="0"/>
          <w:numId w:val="4"/>
        </w:numPr>
      </w:pPr>
      <w:r w:rsidRPr="003D2E58">
        <w:t>Other groups will use the law, and sitting out means important principles will be created without feminists at the table </w:t>
      </w:r>
    </w:p>
    <w:p w:rsidR="00BD3C47" w:rsidRPr="003D2E58" w:rsidRDefault="00BD3C47" w:rsidP="00BD3C47">
      <w:pPr>
        <w:numPr>
          <w:ilvl w:val="0"/>
          <w:numId w:val="4"/>
        </w:numPr>
      </w:pPr>
      <w:r w:rsidRPr="003D2E58">
        <w:t>Law, and litigation in particular, may be the only space where feminists can fight for social change or defend positive advancements </w:t>
      </w:r>
    </w:p>
    <w:p w:rsidR="00BD3C47" w:rsidRPr="003D2E58" w:rsidRDefault="00BD3C47" w:rsidP="00BD3C47">
      <w:pPr>
        <w:numPr>
          <w:ilvl w:val="0"/>
          <w:numId w:val="4"/>
        </w:numPr>
      </w:pPr>
      <w:r w:rsidRPr="003D2E58">
        <w:t>Law can energize and strengthen social movements </w:t>
      </w:r>
    </w:p>
    <w:p w:rsidR="00BD3C47" w:rsidRPr="003D2E58" w:rsidRDefault="00BD3C47" w:rsidP="00BD3C47">
      <w:pPr>
        <w:numPr>
          <w:ilvl w:val="0"/>
          <w:numId w:val="4"/>
        </w:numPr>
      </w:pPr>
      <w:r w:rsidRPr="003D2E58">
        <w:t>Law may result in positive – albeit imperfect and incomplete – change in the lives of women </w:t>
      </w:r>
    </w:p>
    <w:p w:rsidR="00BD3C47" w:rsidRPr="003D2E58" w:rsidRDefault="00BD3C47" w:rsidP="00BD3C47">
      <w:r w:rsidRPr="003D2E58">
        <w:t>So what do we do? </w:t>
      </w:r>
    </w:p>
    <w:p w:rsidR="00BD3C47" w:rsidRPr="003D2E58" w:rsidRDefault="00BD3C47" w:rsidP="00BD3C47">
      <w:pPr>
        <w:numPr>
          <w:ilvl w:val="0"/>
          <w:numId w:val="5"/>
        </w:numPr>
      </w:pPr>
      <w:r w:rsidRPr="003D2E58">
        <w:t>Remember that law has two roles: it oppresses, but it also is a tool for fighting back against oppression </w:t>
      </w:r>
    </w:p>
    <w:p w:rsidR="00BD3C47" w:rsidRDefault="00BD3C47" w:rsidP="00BD3C47">
      <w:pPr>
        <w:numPr>
          <w:ilvl w:val="0"/>
          <w:numId w:val="5"/>
        </w:numPr>
      </w:pPr>
      <w:r w:rsidRPr="003D2E58">
        <w:t>Remember that law is only one tool in the struggle against injustice, and that feminists need to also look to education, awareness-raising, alliance-building, discourse-shifting, mobilization, and other strategies for social change  </w:t>
      </w:r>
    </w:p>
    <w:p w:rsidR="00BD3C47" w:rsidRDefault="00BD3C47" w:rsidP="00BD3C47"/>
    <w:p w:rsidR="00BD3C47" w:rsidRPr="003D2E58" w:rsidRDefault="00BD3C47" w:rsidP="00BD3C47">
      <w:r w:rsidRPr="003D2E58">
        <w:t>Resources consulted: </w:t>
      </w:r>
      <w:hyperlink r:id="rId5" w:history="1">
        <w:r w:rsidRPr="00AE6381">
          <w:rPr>
            <w:rStyle w:val="Hyperlink"/>
          </w:rPr>
          <w:t>https://www.leaf.ca/wp-content/uploads/2020/10/FSL-Fact-Sheet-Resources-Consulted.pdf</w:t>
        </w:r>
      </w:hyperlink>
      <w:r>
        <w:t xml:space="preserve"> </w:t>
      </w:r>
    </w:p>
    <w:p w:rsidR="00BD3C47" w:rsidRPr="003D2E58" w:rsidRDefault="00BD3C47" w:rsidP="00BD3C47"/>
    <w:p w:rsidR="003A5483" w:rsidRPr="00030DAD" w:rsidRDefault="003A5483" w:rsidP="003A5483">
      <w:r>
        <w:rPr>
          <w:b/>
          <w:bCs/>
          <w:u w:val="single"/>
        </w:rPr>
        <w:t>Pourquoi utiliser la loi en tant que féministes ?</w:t>
      </w:r>
      <w:r>
        <w:t> </w:t>
      </w:r>
    </w:p>
    <w:p w:rsidR="003A5483" w:rsidRPr="00030DAD" w:rsidRDefault="003A5483" w:rsidP="003A5483">
      <w:r>
        <w:t>Lorsque nous parlons ici de « la loi », nous entendons l'utilisation de mécanismes et de cadres juridiques. Dans le contexte canadien, il s'agit du système judiciaire, du processus législatif, du système des tribunaux, des enquêtes publiques ou des investigations, des commissions de vérité et de réconciliation, ainsi que des corps et tribunaux de traités internationaux. Alors que ceux qui utilisent la loi peuvent fonder leurs arguments sur différentes traditions juridiques, y compris le droit autochtone, la common law, le droit civil et le droit international, les mécanismes juridiques établis  incarnent et reflètent largement les conceptions coloniales, principalement occidentales ou anglo-européennes du droit. </w:t>
      </w:r>
    </w:p>
    <w:p w:rsidR="003A5483" w:rsidRPr="00030DAD" w:rsidRDefault="003A5483" w:rsidP="003A5483">
      <w:r>
        <w:t>Inquiétudes sur l’usage de la loi </w:t>
      </w:r>
    </w:p>
    <w:p w:rsidR="003A5483" w:rsidRPr="00030DAD" w:rsidRDefault="003A5483" w:rsidP="003A5483">
      <w:pPr>
        <w:numPr>
          <w:ilvl w:val="0"/>
          <w:numId w:val="1"/>
        </w:numPr>
        <w:spacing w:line="259" w:lineRule="auto"/>
        <w:contextualSpacing w:val="0"/>
      </w:pPr>
      <w:r>
        <w:t>La loi peut être source d’oppression : elle porte et reproduit le sexisme, le racisme, le colonialisme, l'hétérosexisme, le capacitisme, la domination anglo-saxonne, la transphobie et d'autres structures d’oppression </w:t>
      </w:r>
    </w:p>
    <w:p w:rsidR="003A5483" w:rsidRPr="00030DAD" w:rsidRDefault="003A5483" w:rsidP="003A5483">
      <w:pPr>
        <w:numPr>
          <w:ilvl w:val="0"/>
          <w:numId w:val="1"/>
        </w:numPr>
        <w:spacing w:line="259" w:lineRule="auto"/>
        <w:contextualSpacing w:val="0"/>
      </w:pPr>
      <w:r>
        <w:t>L'utilisation de la loi risque l'essentialisme de genre : ceux qui ont recours à la loi se sont parfois appuyés sur une « expérience essentielle de la femme », se concentrant sur l’identité sexuelle et ignorant la race, la classe, l'identité et l'orientation sexuelle, les (in)capacités et d'autres réalités </w:t>
      </w:r>
    </w:p>
    <w:p w:rsidR="003A5483" w:rsidRPr="00030DAD" w:rsidRDefault="003A5483" w:rsidP="003A5483">
      <w:pPr>
        <w:numPr>
          <w:ilvl w:val="0"/>
          <w:numId w:val="2"/>
        </w:numPr>
        <w:spacing w:line="259" w:lineRule="auto"/>
        <w:contextualSpacing w:val="0"/>
      </w:pPr>
      <w:r>
        <w:t>La loi peut affaiblir les mouvements sociaux, en détournant les ressources et l'énergie des autres stratégies </w:t>
      </w:r>
    </w:p>
    <w:p w:rsidR="003A5483" w:rsidRPr="00030DAD" w:rsidRDefault="003A5483" w:rsidP="003A5483">
      <w:pPr>
        <w:numPr>
          <w:ilvl w:val="0"/>
          <w:numId w:val="2"/>
        </w:numPr>
        <w:spacing w:line="259" w:lineRule="auto"/>
        <w:contextualSpacing w:val="0"/>
      </w:pPr>
      <w:r>
        <w:t>La loi peut n'apporter qu'un changement limité ou des victoires symboliques sans avantages pour la vie quotidienne de chacun </w:t>
      </w:r>
    </w:p>
    <w:p w:rsidR="003A5483" w:rsidRPr="00030DAD" w:rsidRDefault="003A5483" w:rsidP="003A5483">
      <w:pPr>
        <w:numPr>
          <w:ilvl w:val="0"/>
          <w:numId w:val="2"/>
        </w:numPr>
        <w:spacing w:line="259" w:lineRule="auto"/>
        <w:contextualSpacing w:val="0"/>
      </w:pPr>
      <w:r>
        <w:t>L'usage de la loi peut donner la priorité aux besoins et aux désirs des privilégiés, généralement des femmes blanches, issues de la classe moyenne, hétérosexuelles, valides, cisgenres et anglophones. </w:t>
      </w:r>
    </w:p>
    <w:p w:rsidR="003A5483" w:rsidRPr="00030DAD" w:rsidRDefault="003A5483" w:rsidP="003A5483">
      <w:r>
        <w:t>Arguments en faveur de la loi </w:t>
      </w:r>
    </w:p>
    <w:p w:rsidR="003A5483" w:rsidRPr="00030DAD" w:rsidRDefault="003A5483" w:rsidP="003A5483">
      <w:pPr>
        <w:numPr>
          <w:ilvl w:val="0"/>
          <w:numId w:val="3"/>
        </w:numPr>
        <w:spacing w:line="259" w:lineRule="auto"/>
        <w:contextualSpacing w:val="0"/>
      </w:pPr>
      <w:r>
        <w:t>La loi existe, influe sur la vie de chacun, et les féministes peuvent y recourir afin de modifier ces impacts </w:t>
      </w:r>
    </w:p>
    <w:p w:rsidR="003A5483" w:rsidRPr="00030DAD" w:rsidRDefault="003A5483" w:rsidP="003A5483">
      <w:pPr>
        <w:numPr>
          <w:ilvl w:val="0"/>
          <w:numId w:val="4"/>
        </w:numPr>
        <w:spacing w:line="259" w:lineRule="auto"/>
        <w:contextualSpacing w:val="0"/>
      </w:pPr>
      <w:r>
        <w:t>La loi n'est pas parfaite et les féministes peuvent utiliser ces imperfections pour améliorer le système juridique </w:t>
      </w:r>
    </w:p>
    <w:p w:rsidR="003A5483" w:rsidRPr="00030DAD" w:rsidRDefault="003A5483" w:rsidP="003A5483">
      <w:pPr>
        <w:numPr>
          <w:ilvl w:val="0"/>
          <w:numId w:val="4"/>
        </w:numPr>
        <w:spacing w:line="259" w:lineRule="auto"/>
        <w:contextualSpacing w:val="0"/>
      </w:pPr>
      <w:r>
        <w:t>D'autres groupes auront recours à la loi, rester à l'écart signifiera que des principes importants seront créés sans la présence des féministes autour de la table </w:t>
      </w:r>
    </w:p>
    <w:p w:rsidR="003A5483" w:rsidRPr="00030DAD" w:rsidRDefault="003A5483" w:rsidP="003A5483">
      <w:pPr>
        <w:numPr>
          <w:ilvl w:val="0"/>
          <w:numId w:val="4"/>
        </w:numPr>
        <w:spacing w:line="259" w:lineRule="auto"/>
        <w:contextualSpacing w:val="0"/>
      </w:pPr>
      <w:r>
        <w:t>Le droit, et les litiges en particulier, sont le seul espace où les féministes luttent en faveur d’une évolution de la société de la défense d’avancées positives </w:t>
      </w:r>
    </w:p>
    <w:p w:rsidR="003A5483" w:rsidRPr="00030DAD" w:rsidRDefault="003A5483" w:rsidP="003A5483">
      <w:pPr>
        <w:numPr>
          <w:ilvl w:val="0"/>
          <w:numId w:val="4"/>
        </w:numPr>
        <w:spacing w:line="259" w:lineRule="auto"/>
        <w:contextualSpacing w:val="0"/>
      </w:pPr>
      <w:r>
        <w:t>La loi peut dynamiser et renforcer les mouvements sociaux </w:t>
      </w:r>
    </w:p>
    <w:p w:rsidR="003A5483" w:rsidRPr="00030DAD" w:rsidRDefault="003A5483" w:rsidP="003A5483">
      <w:pPr>
        <w:numPr>
          <w:ilvl w:val="0"/>
          <w:numId w:val="4"/>
        </w:numPr>
        <w:spacing w:line="259" w:lineRule="auto"/>
        <w:contextualSpacing w:val="0"/>
      </w:pPr>
      <w:r>
        <w:t>La loi peut entraîner des changements positifs - quoique imparfaits et incomplets - dans la vie des femmes </w:t>
      </w:r>
    </w:p>
    <w:p w:rsidR="003A5483" w:rsidRPr="00030DAD" w:rsidRDefault="003A5483" w:rsidP="003A5483">
      <w:r>
        <w:t>Alors que faire ? </w:t>
      </w:r>
    </w:p>
    <w:p w:rsidR="003A5483" w:rsidRPr="00030DAD" w:rsidRDefault="003A5483" w:rsidP="003A5483">
      <w:pPr>
        <w:numPr>
          <w:ilvl w:val="0"/>
          <w:numId w:val="5"/>
        </w:numPr>
        <w:spacing w:line="259" w:lineRule="auto"/>
        <w:contextualSpacing w:val="0"/>
      </w:pPr>
      <w:r>
        <w:t>Rappelez-vous que la loi a deux fonctions : elle opprime, mais c'est aussi un outil de lutte contre l'oppression </w:t>
      </w:r>
    </w:p>
    <w:p w:rsidR="003A5483" w:rsidRPr="00030DAD" w:rsidRDefault="003A5483" w:rsidP="003A5483">
      <w:pPr>
        <w:numPr>
          <w:ilvl w:val="0"/>
          <w:numId w:val="5"/>
        </w:numPr>
        <w:spacing w:line="259" w:lineRule="auto"/>
        <w:contextualSpacing w:val="0"/>
      </w:pPr>
      <w:r>
        <w:t>Rappel : la loi n'est qu'un outil dans la lutte contre l'injustice et les féministes doivent se tourner vers l'éducation, la sensibilisation, la création d'alliances, le changement de discours, la mobilisation et d'autres stratégies d’évolution de la société.  </w:t>
      </w:r>
    </w:p>
    <w:p w:rsidR="00BD3C47" w:rsidRDefault="00BD3C47" w:rsidP="00BD3C47"/>
    <w:p w:rsidR="003A5483" w:rsidRPr="003D2E58" w:rsidRDefault="003A5483" w:rsidP="003A5483">
      <w:r>
        <w:t xml:space="preserve">Sources: </w:t>
      </w:r>
      <w:hyperlink r:id="rId6" w:history="1">
        <w:r w:rsidRPr="00AE6381">
          <w:rPr>
            <w:rStyle w:val="Hyperlink"/>
          </w:rPr>
          <w:t>https://www.leaf.ca/wp-content/uploads/2020/10/FSL-Fact-Sheet-Resources-Consulted.pdf</w:t>
        </w:r>
      </w:hyperlink>
      <w:bookmarkStart w:id="0" w:name="_GoBack"/>
      <w:bookmarkEnd w:id="0"/>
    </w:p>
    <w:sectPr w:rsidR="003A5483" w:rsidRPr="003D2E58">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legreya">
    <w:altName w:val="Calibri"/>
    <w:panose1 w:val="02000503050000020004"/>
    <w:charset w:val="00"/>
    <w:family w:val="modern"/>
    <w:notTrueType/>
    <w:pitch w:val="variable"/>
    <w:sig w:usb0="A00000EF" w:usb1="4000204B" w:usb2="00000000" w:usb3="00000000" w:csb0="00000093"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747220910"/>
      <w:docPartObj>
        <w:docPartGallery w:val="Page Numbers (Top of Page)"/>
        <w:docPartUnique/>
      </w:docPartObj>
    </w:sdtPr>
    <w:sdtEndPr>
      <w:rPr>
        <w:b/>
        <w:bCs/>
        <w:noProof/>
        <w:color w:val="auto"/>
        <w:spacing w:val="0"/>
      </w:rPr>
    </w:sdtEndPr>
    <w:sdtContent>
      <w:p w:rsidR="00650914" w:rsidRDefault="003A548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3A5483">
          <w:rPr>
            <w:b/>
            <w:bCs/>
            <w:noProof/>
          </w:rPr>
          <w:t>1</w:t>
        </w:r>
        <w:r>
          <w:rPr>
            <w:b/>
            <w:bCs/>
            <w:noProof/>
          </w:rPr>
          <w:fldChar w:fldCharType="end"/>
        </w:r>
      </w:p>
    </w:sdtContent>
  </w:sdt>
  <w:p w:rsidR="00650914" w:rsidRDefault="003A54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A13C3"/>
    <w:multiLevelType w:val="multilevel"/>
    <w:tmpl w:val="82FC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F1887"/>
    <w:multiLevelType w:val="multilevel"/>
    <w:tmpl w:val="401C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614423"/>
    <w:multiLevelType w:val="multilevel"/>
    <w:tmpl w:val="6344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622012"/>
    <w:multiLevelType w:val="multilevel"/>
    <w:tmpl w:val="F5C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4444C8"/>
    <w:multiLevelType w:val="multilevel"/>
    <w:tmpl w:val="BD52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6704EB"/>
    <w:multiLevelType w:val="multilevel"/>
    <w:tmpl w:val="B234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B4459D"/>
    <w:multiLevelType w:val="multilevel"/>
    <w:tmpl w:val="CEFE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571CFD"/>
    <w:multiLevelType w:val="multilevel"/>
    <w:tmpl w:val="97F0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BB5E94"/>
    <w:multiLevelType w:val="multilevel"/>
    <w:tmpl w:val="4326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165946"/>
    <w:multiLevelType w:val="multilevel"/>
    <w:tmpl w:val="50B2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BD2A20"/>
    <w:multiLevelType w:val="multilevel"/>
    <w:tmpl w:val="B1EC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B041F3"/>
    <w:multiLevelType w:val="multilevel"/>
    <w:tmpl w:val="715E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10"/>
  </w:num>
  <w:num w:numId="6">
    <w:abstractNumId w:val="8"/>
  </w:num>
  <w:num w:numId="7">
    <w:abstractNumId w:val="5"/>
  </w:num>
  <w:num w:numId="8">
    <w:abstractNumId w:val="9"/>
  </w:num>
  <w:num w:numId="9">
    <w:abstractNumId w:val="1"/>
  </w:num>
  <w:num w:numId="10">
    <w:abstractNumId w:val="1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47"/>
    <w:rsid w:val="001E68A3"/>
    <w:rsid w:val="00261678"/>
    <w:rsid w:val="003A5483"/>
    <w:rsid w:val="00A748DE"/>
    <w:rsid w:val="00BD3C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33CC"/>
  <w15:chartTrackingRefBased/>
  <w15:docId w15:val="{2B87E6EE-5E46-47EC-84D0-44359116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483"/>
    <w:pPr>
      <w:spacing w:line="360" w:lineRule="auto"/>
      <w:contextualSpacing/>
    </w:pPr>
    <w:rPr>
      <w:rFonts w:ascii="Source Sans Pro" w:hAnsi="Source Sans Pro"/>
      <w:sz w:val="24"/>
      <w:szCs w:val="24"/>
    </w:rPr>
  </w:style>
  <w:style w:type="paragraph" w:styleId="Heading1">
    <w:name w:val="heading 1"/>
    <w:basedOn w:val="Normal"/>
    <w:next w:val="Normal"/>
    <w:link w:val="Heading1Char"/>
    <w:uiPriority w:val="9"/>
    <w:qFormat/>
    <w:rsid w:val="00261678"/>
    <w:pPr>
      <w:keepNext/>
      <w:keepLines/>
      <w:spacing w:before="240" w:after="0"/>
      <w:outlineLvl w:val="0"/>
    </w:pPr>
    <w:rPr>
      <w:rFonts w:asciiTheme="majorHAnsi" w:eastAsiaTheme="majorEastAsia" w:hAnsiTheme="majorHAnsi" w:cstheme="majorBidi"/>
      <w:color w:val="001747" w:themeColor="accent1" w:themeShade="BF"/>
      <w:sz w:val="32"/>
      <w:szCs w:val="32"/>
    </w:rPr>
  </w:style>
  <w:style w:type="paragraph" w:styleId="Heading2">
    <w:name w:val="heading 2"/>
    <w:basedOn w:val="Normal"/>
    <w:next w:val="Normal"/>
    <w:link w:val="Heading2Char"/>
    <w:uiPriority w:val="9"/>
    <w:unhideWhenUsed/>
    <w:qFormat/>
    <w:rsid w:val="00261678"/>
    <w:pPr>
      <w:keepNext/>
      <w:keepLines/>
      <w:spacing w:before="40" w:after="0"/>
      <w:outlineLvl w:val="1"/>
    </w:pPr>
    <w:rPr>
      <w:rFonts w:asciiTheme="majorHAnsi" w:eastAsiaTheme="majorEastAsia" w:hAnsiTheme="majorHAnsi" w:cstheme="majorBidi"/>
      <w:color w:val="001747" w:themeColor="accent1" w:themeShade="BF"/>
      <w:sz w:val="26"/>
      <w:szCs w:val="26"/>
    </w:rPr>
  </w:style>
  <w:style w:type="paragraph" w:styleId="Heading3">
    <w:name w:val="heading 3"/>
    <w:basedOn w:val="Normal"/>
    <w:next w:val="Normal"/>
    <w:link w:val="Heading3Char"/>
    <w:uiPriority w:val="9"/>
    <w:unhideWhenUsed/>
    <w:qFormat/>
    <w:rsid w:val="00261678"/>
    <w:pPr>
      <w:keepNext/>
      <w:keepLines/>
      <w:spacing w:before="40" w:after="0"/>
      <w:outlineLvl w:val="2"/>
    </w:pPr>
    <w:rPr>
      <w:rFonts w:asciiTheme="majorHAnsi" w:eastAsiaTheme="majorEastAsia" w:hAnsiTheme="majorHAnsi" w:cstheme="majorBidi"/>
      <w:color w:val="000F2F" w:themeColor="accent1" w:themeShade="7F"/>
    </w:rPr>
  </w:style>
  <w:style w:type="paragraph" w:styleId="Heading4">
    <w:name w:val="heading 4"/>
    <w:basedOn w:val="Normal"/>
    <w:next w:val="Normal"/>
    <w:link w:val="Heading4Char"/>
    <w:uiPriority w:val="9"/>
    <w:unhideWhenUsed/>
    <w:qFormat/>
    <w:rsid w:val="00261678"/>
    <w:pPr>
      <w:keepNext/>
      <w:keepLines/>
      <w:spacing w:before="40" w:after="0"/>
      <w:outlineLvl w:val="3"/>
    </w:pPr>
    <w:rPr>
      <w:rFonts w:asciiTheme="majorHAnsi" w:eastAsiaTheme="majorEastAsia" w:hAnsiTheme="majorHAnsi" w:cstheme="majorBidi"/>
      <w:i/>
      <w:iCs/>
      <w:color w:val="001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678"/>
    <w:rPr>
      <w:rFonts w:asciiTheme="majorHAnsi" w:eastAsiaTheme="majorEastAsia" w:hAnsiTheme="majorHAnsi" w:cstheme="majorBidi"/>
      <w:color w:val="001747" w:themeColor="accent1" w:themeShade="BF"/>
      <w:sz w:val="32"/>
      <w:szCs w:val="32"/>
    </w:rPr>
  </w:style>
  <w:style w:type="character" w:customStyle="1" w:styleId="Heading2Char">
    <w:name w:val="Heading 2 Char"/>
    <w:basedOn w:val="DefaultParagraphFont"/>
    <w:link w:val="Heading2"/>
    <w:uiPriority w:val="9"/>
    <w:rsid w:val="00261678"/>
    <w:rPr>
      <w:rFonts w:asciiTheme="majorHAnsi" w:eastAsiaTheme="majorEastAsia" w:hAnsiTheme="majorHAnsi" w:cstheme="majorBidi"/>
      <w:color w:val="001747" w:themeColor="accent1" w:themeShade="BF"/>
      <w:sz w:val="26"/>
      <w:szCs w:val="26"/>
    </w:rPr>
  </w:style>
  <w:style w:type="character" w:customStyle="1" w:styleId="Heading3Char">
    <w:name w:val="Heading 3 Char"/>
    <w:basedOn w:val="DefaultParagraphFont"/>
    <w:link w:val="Heading3"/>
    <w:uiPriority w:val="9"/>
    <w:rsid w:val="00261678"/>
    <w:rPr>
      <w:rFonts w:asciiTheme="majorHAnsi" w:eastAsiaTheme="majorEastAsia" w:hAnsiTheme="majorHAnsi" w:cstheme="majorBidi"/>
      <w:color w:val="000F2F" w:themeColor="accent1" w:themeShade="7F"/>
      <w:sz w:val="24"/>
      <w:szCs w:val="24"/>
    </w:rPr>
  </w:style>
  <w:style w:type="character" w:customStyle="1" w:styleId="Heading4Char">
    <w:name w:val="Heading 4 Char"/>
    <w:basedOn w:val="DefaultParagraphFont"/>
    <w:link w:val="Heading4"/>
    <w:uiPriority w:val="9"/>
    <w:rsid w:val="00261678"/>
    <w:rPr>
      <w:rFonts w:asciiTheme="majorHAnsi" w:eastAsiaTheme="majorEastAsia" w:hAnsiTheme="majorHAnsi" w:cstheme="majorBidi"/>
      <w:i/>
      <w:iCs/>
      <w:color w:val="001747" w:themeColor="accent1" w:themeShade="BF"/>
    </w:rPr>
  </w:style>
  <w:style w:type="paragraph" w:styleId="Subtitle">
    <w:name w:val="Subtitle"/>
    <w:basedOn w:val="Normal"/>
    <w:next w:val="Normal"/>
    <w:link w:val="SubtitleChar"/>
    <w:uiPriority w:val="11"/>
    <w:qFormat/>
    <w:rsid w:val="0026167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1678"/>
    <w:rPr>
      <w:rFonts w:eastAsiaTheme="minorEastAsia"/>
      <w:color w:val="5A5A5A" w:themeColor="text1" w:themeTint="A5"/>
      <w:spacing w:val="15"/>
    </w:rPr>
  </w:style>
  <w:style w:type="paragraph" w:styleId="NoSpacing">
    <w:name w:val="No Spacing"/>
    <w:link w:val="NoSpacingChar"/>
    <w:uiPriority w:val="1"/>
    <w:qFormat/>
    <w:rsid w:val="00261678"/>
    <w:pPr>
      <w:spacing w:after="0" w:line="240" w:lineRule="auto"/>
    </w:pPr>
  </w:style>
  <w:style w:type="character" w:customStyle="1" w:styleId="NoSpacingChar">
    <w:name w:val="No Spacing Char"/>
    <w:basedOn w:val="DefaultParagraphFont"/>
    <w:link w:val="NoSpacing"/>
    <w:uiPriority w:val="1"/>
    <w:rsid w:val="00261678"/>
  </w:style>
  <w:style w:type="paragraph" w:styleId="ListParagraph">
    <w:name w:val="List Paragraph"/>
    <w:basedOn w:val="Normal"/>
    <w:uiPriority w:val="34"/>
    <w:qFormat/>
    <w:rsid w:val="00261678"/>
    <w:pPr>
      <w:ind w:left="720"/>
    </w:pPr>
  </w:style>
  <w:style w:type="character" w:styleId="SubtleEmphasis">
    <w:name w:val="Subtle Emphasis"/>
    <w:basedOn w:val="DefaultParagraphFont"/>
    <w:uiPriority w:val="19"/>
    <w:qFormat/>
    <w:rsid w:val="00261678"/>
    <w:rPr>
      <w:i/>
      <w:iCs/>
      <w:color w:val="404040" w:themeColor="text1" w:themeTint="BF"/>
    </w:rPr>
  </w:style>
  <w:style w:type="paragraph" w:styleId="TOCHeading">
    <w:name w:val="TOC Heading"/>
    <w:basedOn w:val="Heading1"/>
    <w:next w:val="Normal"/>
    <w:uiPriority w:val="39"/>
    <w:unhideWhenUsed/>
    <w:qFormat/>
    <w:rsid w:val="00261678"/>
    <w:pPr>
      <w:outlineLvl w:val="9"/>
    </w:pPr>
  </w:style>
  <w:style w:type="paragraph" w:styleId="Header">
    <w:name w:val="header"/>
    <w:basedOn w:val="Normal"/>
    <w:link w:val="HeaderChar"/>
    <w:uiPriority w:val="99"/>
    <w:unhideWhenUsed/>
    <w:rsid w:val="00BD3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C47"/>
    <w:rPr>
      <w:rFonts w:ascii="Source Sans Pro" w:hAnsi="Source Sans Pro"/>
      <w:sz w:val="24"/>
      <w:szCs w:val="24"/>
    </w:rPr>
  </w:style>
  <w:style w:type="character" w:styleId="Hyperlink">
    <w:name w:val="Hyperlink"/>
    <w:basedOn w:val="DefaultParagraphFont"/>
    <w:uiPriority w:val="99"/>
    <w:unhideWhenUsed/>
    <w:rsid w:val="00BD3C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f.ca/wp-content/uploads/2020/10/FSL-Fact-Sheet-Resources-Consulted.pdf" TargetMode="External"/><Relationship Id="rId5" Type="http://schemas.openxmlformats.org/officeDocument/2006/relationships/hyperlink" Target="https://www.leaf.ca/wp-content/uploads/2020/10/FSL-Fact-Sheet-Resources-Consulted.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2060"/>
      </a:accent1>
      <a:accent2>
        <a:srgbClr val="C00000"/>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968</Words>
  <Characters>5521</Characters>
  <Application>Microsoft Office Word</Application>
  <DocSecurity>0</DocSecurity>
  <Lines>46</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Women’s Legal Education and Action Fund (LEAF)</vt:lpstr>
      <vt:lpstr>Fact Sheets</vt:lpstr>
    </vt:vector>
  </TitlesOfParts>
  <Company>HP Inc.</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Biros-Bolton</dc:creator>
  <cp:keywords/>
  <dc:description/>
  <cp:lastModifiedBy>Nicole Biros-Bolton</cp:lastModifiedBy>
  <cp:revision>2</cp:revision>
  <dcterms:created xsi:type="dcterms:W3CDTF">2020-10-20T20:18:00Z</dcterms:created>
  <dcterms:modified xsi:type="dcterms:W3CDTF">2020-10-20T20:50:00Z</dcterms:modified>
</cp:coreProperties>
</file>